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南京市外事翻译中心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单位决算表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单位决算情况说明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南京市外事翻译中心为南京市人民政府外事办公室所属全额拨款事业单位，公益一类，主要承担为我市各类外事活动、大型涉外活动、出访团组提供高质量翻译、会务、咨询、培训等服务工作。本中心核定全额拨款事业编制9名，截至2023年末，实有人员5名。</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本单位内设机构包括办公室、业务科。本单位无下属单位。</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（一）党建引领践行外事为宁</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认真组织学习</w:t>
      </w:r>
      <w:r>
        <w:rPr>
          <w:rFonts w:hint="eastAsia" w:ascii="仿宋" w:hAnsi="仿宋" w:eastAsia="仿宋" w:cs="仿宋"/>
          <w:lang w:eastAsia="zh-CN"/>
        </w:rPr>
        <w:t>党的</w:t>
      </w:r>
      <w:r>
        <w:rPr>
          <w:rFonts w:ascii="仿宋" w:hAnsi="仿宋" w:eastAsia="仿宋" w:cs="仿宋"/>
        </w:rPr>
        <w:t>二十大</w:t>
      </w:r>
      <w:bookmarkStart w:id="0" w:name="_GoBack"/>
      <w:bookmarkEnd w:id="0"/>
      <w:r>
        <w:rPr>
          <w:rFonts w:ascii="仿宋" w:hAnsi="仿宋" w:eastAsia="仿宋" w:cs="仿宋"/>
        </w:rPr>
        <w:t>精神和</w:t>
      </w:r>
      <w:r>
        <w:rPr>
          <w:rFonts w:hint="eastAsia" w:ascii="仿宋" w:hAnsi="仿宋" w:eastAsia="仿宋" w:cs="仿宋"/>
        </w:rPr>
        <w:t>学习贯彻习近平新时代中国特色社会主义思想主题教育</w:t>
      </w:r>
      <w:r>
        <w:rPr>
          <w:rFonts w:ascii="仿宋" w:hAnsi="仿宋" w:eastAsia="仿宋" w:cs="仿宋"/>
        </w:rPr>
        <w:t>，开展各类支部活动，充分激发支部战斗堡垒作用。作为外办最年轻的党支部，结合自身工作和特色，通过与相关区、部门开展支部共建活动，积极探索外语人才队伍建设新模式，搭建“外事为宁“语”宁同行”外语人才共享平台，以秦淮区为试点建立外语人才储备队伍，努力打造一支特色鲜明、专业过硬、作风优良、勇于担当的外语储备力量团队。</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（二）履职尽责保障外事活动顺利进行</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年翻译中心累计接待各国重要客人46批近400人次，保障市领导及部门因公出访4批次，参与保障联合国采购推广大会、中国—太平洋岛国农渔业部长会议等国家级重要大会顺利举办，做好市领导会见德国巴斯夫、欧盟商会等经贸客人的翻译及礼宾保障；翻译审校南京香港城市展、新加坡—南京重点项目合作委员会第十次会议等活动文字材料共计4万字，确保我市各类重大外事活动顺利进行。</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（三）提升国际传播能力</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着眼我市国际交往中心城市发展需求，实施“南京关键词”项目。发挥语言优势，激活外事引擎，及时、准确、权威对外传递南京高质量发展、创新治理、营商环境、民生福祉、国际交往等各领域公共政策，让世界更好认识新时代的中国并了解南京，扩大我市公共政策国际知晓度，提升我市对外公共传播能力。项目被列入宣传部“2023年度全市宣传思想工作创新项目培育入库名录”。</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成立“南京市公共政策翻译专家库”。为我市经济社会发展相关的公共政策关键词汇、重要国际活动名称的外文翻译提供专家意见，探讨研究我市公共政策外译的基本原则与方法，为我办及全市外事干部外语能力及外事素养提供讲座培训，为我办对外交往及我市城市对外话语体系建设提供建议指导。</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（四）赋能培训锻造高质量外事干部队伍</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为提升我办外事干部队伍的专业能力和综合素质，从而为南京市国际化交往中心城市建设培养素质高、业务优的外事人才队伍，开展“赋能成长外事为宁”外事能力强化培训。培训分专业技能提升类和外事素养及知识储备类两大板块，围绕口笔译技能训练、涉外礼仪素养、跨文化交际专题，按照我办干部队伍实际，定制系列培训课程，邀请联合国译员、欧盟口译司译员、前外交部翻译室主任、高级翻译、国际会议口译员协会会员、涉外礼仪专家等资深人士为我办提供培训授课。</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（五）提升外事队伍礼宾礼仪工作水平</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面对我市国际交往中心城市建设需求，编制《外事礼宾礼仪工作手册》，为我市外事系统干部、教育系统、相关部门及高校提供外事礼宾礼仪知识讲座，通过专业讲解、案例解析等提升我市各部门园区外事队伍礼宾礼仪工作水平，为我市招商引资、文化交流等国际交往提供外事动力。</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（六）发挥参谋助手作用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从服务全市经济社会发展大局出发，围绕优化营商环境、加快服务业对外开放、临空经济示范区建设等主题，摘选编译外事信息参考3期总计14篇，充分发挥参谋助手作用，不断提升“三服务”能力水平，有力有效服务市政府领导科学决策和工作落实，在不断推进中国式现代化南京新实践中展现更大担当和作为。</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南京市外事翻译中心</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Ind w:w="0" w:type="dxa"/>
        <w:tblLayout w:type="fixed"/>
        <w:tblCellMar>
          <w:top w:w="0" w:type="dxa"/>
          <w:left w:w="108" w:type="dxa"/>
          <w:bottom w:w="0" w:type="dxa"/>
          <w:right w:w="108" w:type="dxa"/>
        </w:tblCellMar>
      </w:tblPr>
      <w:tblGrid>
        <w:gridCol w:w="3468"/>
        <w:gridCol w:w="1777"/>
        <w:gridCol w:w="2035"/>
        <w:gridCol w:w="1341"/>
        <w:gridCol w:w="1826"/>
      </w:tblGrid>
      <w:tr>
        <w:tblPrEx>
          <w:tblLayout w:type="fixed"/>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Layout w:type="fixed"/>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Layout w:type="fixed"/>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南京市外事翻译中心</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Layout w:type="fixed"/>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Layout w:type="fixed"/>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141.23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93.96</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16.24</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33.04</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141.23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143.23</w:t>
            </w: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r>
              <w:rPr>
                <w:rFonts w:hint="eastAsia" w:ascii="仿宋" w:hAnsi="仿宋" w:eastAsia="仿宋" w:cs="仿宋"/>
                <w:color w:val="000000"/>
                <w:lang w:eastAsia="ar-SA"/>
              </w:rPr>
              <w:t>2.10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0.10</w:t>
            </w:r>
          </w:p>
        </w:tc>
      </w:tr>
      <w:tr>
        <w:tblPrEx>
          <w:tblLayout w:type="fixed"/>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Layout w:type="fixed"/>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143.33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143.33</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Ind w:w="0" w:type="dxa"/>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Layout w:type="fixed"/>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Layout w:type="fixed"/>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Layout w:type="fixed"/>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Layout w:type="fixed"/>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141.23</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141.23</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91.85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91.85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对外联络事务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0.91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其他对外联络事务支出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0.91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Layout w:type="fixed"/>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Layout w:type="fixed"/>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Layout w:type="fixed"/>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Layout w:type="fixed"/>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143.23</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142.32</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0.91</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93.96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93.04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0.91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93.04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93.04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专项业务及机关事务管理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2010350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92.54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92.54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对外联络事务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0.91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0.91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2013599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其他对外联络事务支出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0.91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0.91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10.83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10.83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5.41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33.04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33.04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Layout w:type="fixed"/>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Layout w:type="fixed"/>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Layout w:type="fixed"/>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Layout w:type="fixed"/>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Layout w:type="fixed"/>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141.23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93.96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93.96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141.23</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143.23</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143.23</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2.10</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0.10</w:t>
            </w: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0.10</w:t>
            </w: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2.10</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143.33</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143.33</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143.33</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Layout w:type="fixed"/>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Layout w:type="fixed"/>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Layout w:type="fixed"/>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143.23</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142.32</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92.54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92.54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对外联络事务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其他对外联络事务支出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Layout w:type="fixed"/>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Layout w:type="fixed"/>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Layout w:type="fixed"/>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142.32</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135.91</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6.41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6.41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Layout w:type="fixed"/>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Layout w:type="fixed"/>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Layout w:type="fixed"/>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Layout w:type="fixed"/>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143.23</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142.32</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93.96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93.04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93.04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93.04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92.54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92.54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对外联络事务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其他对外联络事务支出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Layout w:type="fixed"/>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Layout w:type="fixed"/>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Layout w:type="fixed"/>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142.32</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135.91</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6.41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6.41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0.76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0.13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Layout w:type="fixed"/>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Layout w:type="fixed"/>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Layout w:type="fixed"/>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Layout w:type="fixed"/>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0.13</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0.13</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0.13</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0.13</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Layout w:type="fixed"/>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9</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Layout w:type="fixed"/>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Layout w:type="fixed"/>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Layout w:type="fixed"/>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hint="eastAsia" w:ascii="仿宋" w:hAnsi="仿宋" w:eastAsia="仿宋" w:cs="仿宋"/>
          <w:lang w:val="en-US"/>
        </w:rPr>
      </w:pPr>
      <w:r>
        <w:rPr>
          <w:rFonts w:ascii="仿宋" w:hAnsi="仿宋" w:eastAsia="仿宋" w:cs="仿宋"/>
        </w:rPr>
        <w:t>本单位无政府性基金预算收入支出决算，故本表为空。</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Layout w:type="fixed"/>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Layout w:type="fixed"/>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Layout w:type="fixed"/>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Layout w:type="fixed"/>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Layout w:type="fixed"/>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Layout w:type="fixed"/>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Layout w:type="fixed"/>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Layout w:type="fixed"/>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南京市外事翻译中心</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0.91</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2023年度收入、支出决算总计143.33万元。与上年相比，收、支总计各增加5.55万元，增长4.03%。其中：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（一）收入决算总计143.33万元。包括：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1.本年收入决算合计141.23万元。与上年相比，增加5.89万元，增长4.35%，变动原因：社保基数增加，缴费相应增长。进行办公用品采购，上年无采购。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3.年初结转和结余2.1万元。与上年相比，减少0.34万元，减少13.93%，变动原因：翻译中心独立运作正常支出。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（二）支出决算总计143.33万元。包括：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1.本年支出决算合计143.23万元。与上年相比，增加7.55万元，增长5.56%，变动原因：社保基数增加，缴费相应增长。进行办公用品采购。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3.年末结转和结余0.1万元。结转和结余事项：社保缴费。与上年相比，减少2万元，减少95.24%，变动原因：动用上年结余。</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141.23万元，其中：财政拨款收入141.23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2023年度本年支出决算合计143.23万元，其中：基本支出142.32万元，占99.36%；项目支出0.91万元，占0.64%；上缴上级支出0万元，占0%；经营支出0万元，占0%；对附属单位补助支出0万元，占0%。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2023年度财政拨款收入、支出决算总计143.33万元。与上年相比，收、支总计各增加5.55万元，增长4.03%，变动原因：人员开支经费有所增加。</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2023年度财政拨款支出决算143.23万元，占本年支出合计的100%。与2023年度财政拨款支出年初预算146.36万元相比，完成年初预算的97.86%。其中：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政府办公厅（室）及相关机构事务（款）专项业务及机关事务管理（项）。年初预算0万元，支出决算0.5万元，（年初预算数为0万元，无法计算完成比率）决算数与年初预算数的差异原因：增加人员未休假报酬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2.政府办公厅（室）及相关机构事务（款）事业运行（项）。年初预算95.2万元，支出决算92.54万元，完成年初预算的97.21%。决算数与年初预算数的差异原因：人员减少，1人辞职。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3.对外联络事务（款）其他对外联络事务支出（项）。年初预算1.07万元，支出决算0.91万元，完成年初预算的85.05%。决算数与年初预算数的差异原因：采购办公用品结余。</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1.行政事业单位养老支出（款）机关事业单位基本养老保险缴费支出（项）。年初预算10.83万元，支出决算10.83万元，完成年初预算的100%。决算数与年初预算数相同。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2.行政事业单位养老支出（款）机关事业单位职业年金缴费支出（项）。年初预算5.41万元，支出决算5.41万元，完成年初预算的100%。决算数与年初预算数相同。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1.住房改革支出（款）住房公积金（项）。年初预算10.69万元，支出决算9.88万元，完成年初预算的92.42%。决算数与年初预算数的差异原因：人员减少。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2.住房改革支出（款）提租补贴（项）。年初预算23.16万元，支出决算23.16万元，完成年初预算的100%。决算数与年初预算数相同。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2023年度财政拨款基本支出决算142.32万元，其中：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（一）人员经费135.91万元。</w:t>
      </w:r>
      <w:r>
        <w:rPr>
          <w:rFonts w:ascii="仿宋" w:hAnsi="仿宋" w:eastAsia="仿宋" w:cs="仿宋"/>
        </w:rPr>
        <w:t>主要包括：基本工资、津贴补贴、绩效工资、机关事业单位基本养老保险缴费、职业年金缴费、职工基本医疗保险缴费、公务员医疗补助缴费、其他社会保障缴费、住房公积金、医疗费、其他工资福利支出、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（二）公用经费6.41万元。</w:t>
      </w:r>
      <w:r>
        <w:rPr>
          <w:rFonts w:ascii="仿宋" w:hAnsi="仿宋" w:eastAsia="仿宋" w:cs="仿宋"/>
        </w:rPr>
        <w:t>主要包括：办公费、差旅费、公务接待费、工会经费。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2023年度一般公共预算财政拨款支出决算143.23万元。与上年相比，增加7.55万元，增长5.56%，变动原因：人员开支经费有所上升。</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2023年度一般公共预算财政拨款基本支出决算142.32万元，其中：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（一）人员经费135.91万元。</w:t>
      </w:r>
      <w:r>
        <w:rPr>
          <w:rFonts w:ascii="仿宋" w:hAnsi="仿宋" w:eastAsia="仿宋" w:cs="仿宋"/>
        </w:rPr>
        <w:t>主要包括：基本工资、津贴补贴、绩效工资、机关事业单位基本养老保险缴费、职业年金缴费、职工基本医疗保险缴费、公务员医疗补助缴费、其他社会保障缴费、住房公积金、医疗费、其他工资福利支出、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（二）公用经费6.41万元。</w:t>
      </w:r>
      <w:r>
        <w:rPr>
          <w:rFonts w:ascii="仿宋" w:hAnsi="仿宋" w:eastAsia="仿宋" w:cs="仿宋"/>
        </w:rPr>
        <w:t>主要包括：办公费、差旅费、公务接待费、工会经费。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0.13万元（其中：一般公共预算支出0.13万元；政府性基金预算支出0万元；国有资本经营预算支出0万元）。与上年相比，增加0.13万元，变动原因：公务接待两批次。其中，因公出国（境）费支出0万元，占“三公”经费的0%；公务用车购置及运行维护费支出0万元，占“三公”经费的0%；公务接待费支出0.13万元，占“三公”经费的100%。2023年度财政拨款“三公”经费支出预算0.13万元（其中：一般公共预算支出0.13万元；政府性基金预算支出0万元；国有资本经营预算支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0.13万元（其中：一般公共预算支出0.13万元；政府性基金预算支出0万元；国有资本经营预算支出0万元），支出决算0.13万元（其中：一般公共预算支出0.13万元；政府性基金预算支出0万元；国有资本经营预算支出0万元），完成调整后预算的100%，决算数与预算数相同。其中：国内公务接待支出0.13万元，接待2批次，9人次，开支内容：接待前外交部翻译司专家和美国来访客人；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2023年度机关运行经费支出决算0万元（其中：一般公共预算支出0万元；政府性基金预算支出0万元；国有资本经营预算支出0万元）。与上年决算数相同。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0.91万元，其中：政府采购货物支出0.91万元、政府采购工程支出0万元、政府采购服务支出0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2023年度，本单位共0个项目开展了财政重点绩效评价，涉及财政性资金合计0万元；本单位未开展单位整体支出财政重点绩效评价，涉及财政性资金0万元。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本单位共对2023年度已实施完成的1个项目开展了绩效自评价，涉及财政性资金合计0.91万元；本单位共开展1项单位整体支出绩效自评价，涉及财政性资金合计143.23万元。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十九、一般公共服务支出(类)政府办公厅（室）及相关机构事务(款)专项业务及机关事务管理(项)</w:t>
      </w:r>
      <w:r>
        <w:rPr>
          <w:rFonts w:ascii="仿宋" w:hAnsi="仿宋" w:eastAsia="仿宋" w:cs="仿宋"/>
          <w:b/>
        </w:rPr>
        <w:t>：</w:t>
      </w:r>
      <w:r>
        <w:rPr>
          <w:rFonts w:hint="eastAsia" w:ascii="仿宋" w:hAnsi="仿宋" w:eastAsia="仿宋" w:cs="仿宋"/>
        </w:rPr>
        <w:t>反映各级政府举行各类重大活动、召开重要会议（如国务院一类会议、国庆招待会、全国劳模大会）的支出，政府机关房地产管理、公务用车管理等方面的支出。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二十、一般公共服务支出(类)政府办公厅（室）及相关机构事务(款)事业运行(项)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二十一、一般公共服务支出(类)对外联络事务(款)其他对外联络事务支出(项)</w:t>
      </w:r>
      <w:r>
        <w:rPr>
          <w:rFonts w:ascii="仿宋" w:hAnsi="仿宋" w:eastAsia="仿宋" w:cs="仿宋"/>
          <w:b/>
        </w:rPr>
        <w:t>：</w:t>
      </w:r>
      <w:r>
        <w:rPr>
          <w:rFonts w:hint="eastAsia" w:ascii="仿宋" w:hAnsi="仿宋" w:eastAsia="仿宋" w:cs="仿宋"/>
        </w:rPr>
        <w:t>反映除上述项目以外其他用于中国共产党对外联络部门的事务支出。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LIBAABOAwAADgAAAGRycy9lMm9Eb2MueG1srVNLbtswEN0XyB0I&#10;7mPKLhI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2++J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aPKrEBAABP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DmdXU+K4xRkdfj4efj0fnh7IvPpY5xYNPjaYee8xN42fYcT0yR/RmZWPKtj8&#10;RU0E49js/bnBckxE5EeLerGoMCQwNl0Qn7089yGmLxIsyUZLA06wNJbvvsV0TJ1ScjUH19qYMkXj&#10;/nIgZvawzP3IMVtpXI8nQWvo9qhnwOG31OF2UmK+Ouxt3pPJCJOxnoytD3rTI7V54RX95TYhicIt&#10;VzjCngrj1Iq604bltfjzXrJe/oP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BRo8q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sUnLEBAABPAwAADgAAAGRycy9lMm9Eb2MueG1srVPNahsxEL4X+g5C&#10;91hrG4pZvA4JIaFQkkLaB5C1klegP0ayd/0CyRv01EvvfS4/R0ey10nbW8hFO5oZffN9M7PLy8Ea&#10;spMQtXcNnU4qSqQTvtVu09Dv324vFpTExF3LjXeyoXsZ6eXq44dlH2o58503rQSCIC7WfWhol1Ko&#10;GYuik5bHiQ/SYVB5sDzhFTasBd4jujVsVlWfWO+hDeCFjBG9N8cgXRV8paRID0pFmYhpKHJL5YRy&#10;rvPJVkteb4CHTosTDf4GFpZrh0XPUDc8cbIF/R+U1QJ89CpNhLfMK6WFLBpQzbT6R81jx4MsWrA5&#10;MZzbFN8PVtzvvgLRLc5uTonjFmd0+PF8+Pn78OuJTKv5PLeoD7HGzMeAuWm49gOmj/6Izqx8UGDz&#10;FzURjGOz9+cGyyERkR8tZotFhSGBsfGC+OzleYCY7qS3JBsNBZxgaSzffYnpmDqm5GrO32pjyhSN&#10;+8uBmNnDMvcjx2ylYT2cBK19u0c9PQ6/oQ63kxLz2WFv856MBozGejS2AfSmQ2rTwiuGq21CEoVb&#10;rnCEPRXGqRV1pw3La/H6XrJe/oP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LSxSc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Y3K7IBAABPAwAADgAAAGRycy9lMm9Eb2MueG1srVPBbtswDL0P6D8I&#10;ujdy0mIIjDjFhqLFgKEb0PUDFFmKBUiiICmx8wPdH+y0y+79rnxHKSVOu/Y27CJTJPX4HkkvrgZr&#10;yFaGqME1dDqpKJFOQKvduqEPP27O55TExF3LDTjZ0J2M9Gp59mHR+1rOoAPTykAQxMW69w3tUvI1&#10;Y1F00vI4AS8dBhUEyxNew5q1gfeIbg2bVdVH1kNofQAhY0Tv9SFIlwVfKSnSN6WiTMQ0FLmlcoZy&#10;rvLJlgterwP3nRZHGvwfWFiuHRY9QV3zxMkm6HdQVosAEVSaCLAMlNJCFg2oZlq9UXPfcS+LFmxO&#10;9Kc2xf8HK+623wPRLc7ukhLHLc5o/+vn/vfT/s8jmVYXl7lFvY81Zt57zE3DZxgwffRHdGblgwo2&#10;f1ETwTg2e3dqsBwSEfnRfDafVxgSGBsviM9envsQ060ES7LR0IATLI3l268xHVLHlFzNwY02pkzR&#10;uL8ciJk9LHM/cMxWGlbDUdAK2h3q6XH4DXW4nZSYLw57m/dkNMJorEZj44Ned0htWnhF/2mTkETh&#10;liscYI+FcWpF3XHD8lq8vpesl/9g+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P2Y3K7IB&#10;AABP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oMbIBAABPAwAADgAAAGRycy9lMm9Eb2MueG1srVNLbtswEN0X6B0I&#10;7mvKDhIIguWgQZCiQNAWSHMAmiItAvyBQ1vyBZobdNVN9z2Xz9EhbTltswu6oYYzwzfvzYyW16M1&#10;ZCcjaO9aOp9VlEgnfKfdpqWPX+/e1ZRA4q7jxjvZ0r0Eer16+2Y5hEYufO9NJyNBEAfNEFrapxQa&#10;xkD00nKY+SAdBpWPlie8xg3rIh8Q3Rq2qKorNvjYheiFBEDv7TFIVwVfKSnSZ6VAJmJaitxSOWM5&#10;1/lkqyVvNpGHXosTDf4KFpZrh0XPULc8cbKN+gWU1SJ68CrNhLfMK6WFLBpQzbz6R81Dz4MsWrA5&#10;EM5tgv8HKz7tvkSiO5zdJSWOW5zR4fvT4cevw89vZF5d1LlFQ4AGMx8C5qbxxo+YPvkBnVn5qKLN&#10;X9REMI7N3p8bLMdERH5UL+q6wpDA2HRBfPb8PERIH6S3JBstjTjB0li+u4d0TJ1ScjXn77QxZYrG&#10;/eVAzOxhmfuRY7bSuB5Pgta+26OeAYffUofbSYn56LC3eU8mI07GejK2IepNj9TmhReE99uEJAq3&#10;XOEIeyqMUyvqThuW1+LPe8l6/g9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IoMbIB&#10;AABP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NQV7EBAABOAwAADgAAAGRycy9lMm9Eb2MueG1srVNLbtswEN0H6B0I&#10;7mtKR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XUuvKXHc4ogO378dfvw6/PxK6uq6zh0aAjSY+BgwNY3v/YiTnvyAzix8VNHm&#10;L0oiGMde78/9lWMiIj9azBeLCkMCY9MF8dnleYiQPkhvSTZaGnGApa989wDpmDql5GrO32tjyhCN&#10;+82BmNnDMvcjx2ylcT2eBK19t0c9A86+pQ6XkxLz0WFr85pMRpyM9WRsQ9SbHqnVhReEd9uEJAq3&#10;XOEIeyqMQyvqTguWt+L1vWRdfoPV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w1BX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4mvrIBAABOAwAADgAAAGRycy9lMm9Eb2MueG1srVNLbtswEN0XyB0I&#10;7mPKLlK4guWgRZCgQNEUSHsAmiItAvyBQ1vyBdobdJVN9jmXz9EhbTlNsgu6oYYzwzfvzYwWl4M1&#10;ZCsjaO8aOp1UlEgnfKvduqE/f1yfzymBxF3LjXeyoTsJ9HJ59m7Rh1rOfOdNKyNBEAd1HxrapRRq&#10;xkB00nKY+CAdBpWPlie8xjVrI+8R3Ro2q6oPrPexDdELCYDeq0OQLgu+UlKkW6VAJmIaitxSOWM5&#10;V/lkywWv15GHTosjDf4GFpZrh0VPUFc8cbKJ+hWU1SJ68CpNhLfMK6WFLBpQzbR6oeau40EWLdgc&#10;CKc2wf+DFd+23yPRbUMvKHHc4oj2f37v7x/3D7/ItHr/MXeoD1Bj4l3A1DR89gNOevQDOrPwQUWb&#10;vyiJYBx7vTv1Vw6JiPxoPpvPKwwJjI0XxGdPz0OEdCO9JdloaMQBlr7y7VdIh9QxJVdz/lobU4Zo&#10;3DMHYmYPy9wPHLOVhtVwFLTy7Q719Dj7hjpcTkrMF4etzWsyGnE0VqOxCVGvO6Q2LbwgfNo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I4mvr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HizLABAABOAwAADgAAAGRycy9lMm9Eb2MueG1srVPNahsxEL4H+g5C&#10;91prE4JZvA4JIaFQ2kKSB5C1klegP0ayd/0C7Rv01EvvfS4/R0ay107bW8hFO5oZffPNN7OL68Ea&#10;spUQtXcNnU4qSqQTvtVu3dDnp/uPc0pi4q7lxjvZ0J2M9Hr54WLRh1rOfOdNK4EgiIt1HxrapRRq&#10;xqLopOVx4oN0GFQeLE94hTVrgfeIbg2bVdUV6z20AbyQMaL37hCky4KvlBTpq1JRJmIaitxSOaGc&#10;q3yy5YLXa+Ch0+JIg7+BheXaYdET1B1PnGxA/wdltQAfvUoT4S3zSmkhSw/YzbT6p5vHjgdZekFx&#10;YjjJFN8PVnzZfgOi24ZeUeK4xRHtf/7Y//qz//2dTKvLolAfYo2JjwFT03DrB5x0Vi77Izpz44MC&#10;m7/YEsE4ar076SuHRER+NJ/N5xWGBMbGC+Kw8/MAMT1Ib0k2Ggo4wKIr336O6ZA6puRqzt9rY8oQ&#10;jfvLgZjZw84cs5WG1XAkvvLtDvvpcfYNdbiclJhPDqXNazIaMBqr0dgE0OsOqU0LrxhuNglJFG65&#10;wgH2WBiHVro7Lljeitf3knX+DZ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kR4sy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yqyLEBAABOAwAADgAAAGRycy9lMm9Eb2MueG1srVPBbtswDL0X2D8I&#10;ui9yclgDI06xoehQoNgGtP0ARZZiAZIoSErs/MD2Bz310nu/K99RSonTdr0Nu8gUST2+R9KLi8Ea&#10;spUhanANnU4qSqQT0Gq3buj93dXnOSUxcddyA042dCcjvVh+Olv0vpYz6MC0MhAEcbHufUO7lHzN&#10;WBSdtDxOwEuHQQXB8oTXsGZt4D2iW8NmVfWF9RBaH0DIGNF7eQjSZcFXSor0U6koEzENRW6pnKGc&#10;q3yy5YLX68B9p8WRBv8HFpZrh0VPUJc8cbIJ+gOU1SJABJUmAiwDpbSQRQOqmVZ/qbntuJdFCzYn&#10;+lOb4v+DFT+2vwLRbUPPKXHc4oj2D3/2j8/7p99kWs3Oc4d6H2tMvPWYmoZvMOCkR39EZxY+qGDz&#10;FyURjGOvd6f+yiERkR/NZ/N5hSGBsfGC+Oz1uQ8xfZdgSTYaGnCApa98exPTIXVMydUcXGljyhCN&#10;e+dAzOxhmfuBY7bSsBqOglbQ7lBPj7NvqMPlpMRcO2xtXpPRCKOxGo2ND3rdIbVp4RX9101CEoVb&#10;rnCAPRbGoRV1xwXLW/H2XrJef4Pl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zKr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Gy7ABAABOAwAADgAAAGRycy9lMm9Eb2MueG1srVNLbtswEN0X6B0I&#10;7mvKXhSCYDlIEKQoUKQB0h6ApkiLAH/g0JZ8gfQGWWWTfc7lc3RIW07a7IpuqOHM8M17M6PlxWgN&#10;2ckI2ruWzmcVJdIJ32m3aenPHzefakogcddx451s6V4CvVh9/LAcQiMXvvemk5EgiINmCC3tUwoN&#10;YyB6aTnMfJAOg8pHyxNe44Z1kQ+Ibg1bVNVnNvjYheiFBEDv9TFIVwVfKSnSd6VAJmJaitxSOWM5&#10;1/lkqyVvNpGHXosTDf4PLCzXDoueoa554mQb9Tsoq0X04FWaCW+ZV0oLWTSgmnn1l5r7ngdZtGBz&#10;IJzbBP8PVtzu7iLRXUtxUI5bHNHh8dfh6eXw/EDm1aLOHRoCNJh4HzA1jVd+xElPfkBnFj6qaPMX&#10;JRGMY6/35/7KMRGRH9WLuq4wJDA2XRCfvT4PEdIX6S3JRksjDrD0le++QTqmTim5mvM32pgyROP+&#10;cCBm9rDM/cgxW2lcjydBa9/tUc+As2+pw+WkxHx12Nq8JpMRJ2M9GdsQ9aZHavPCC8LlNiGJwi1X&#10;OMKeCuPQirrTguWteHsvWa+/w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2cBsu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GdfbEBAABOAwAADgAAAGRycy9lMm9Eb2MueG1srVPBbtswDL0X2D8I&#10;ui9ychhSI06xoehQoOgGtP0ARZZiAZIoSErs/ED3Bzvt0nu/K99RSonTdr0Nu8gUST2+R9KLi8Ea&#10;spUhanANnU4qSqQT0Gq3bujD/dXnOSUxcddyA042dCcjvVh+Olv0vpYz6MC0MhAEcbHufUO7lHzN&#10;WBSdtDxOwEuHQQXB8oTXsGZt4D2iW8NmVfWF9RBaH0DIGNF7eQjSZcFXSor0Q6koEzENRW6pnKGc&#10;q3yy5YLX68B9p8WRBv8HFpZrh0VPUJc8cbIJ+gOU1SJABJUmAiwDpbSQRQOqmVZ/qbnruJdFCzYn&#10;+lOb4v+DFbfbn4HotqHnlDhucUT737/2f573T49kWs3Oc4d6H2tMvPOYmoZvMOCkR39EZxY+qGDz&#10;FyURjGOvd6f+yiERkR/NZ/N5hSGBsfGC+Oz1uQ8xfZdgSTYaGnCApa98exPTIXVMydUcXGljyhCN&#10;e+dAzOxhmfuBY7bSsBqOglbQ7lBPj7NvqMPlpMRcO2xtXpPRCKOxGo2ND3rdIbVp4RX9101CEoVb&#10;rnCAPRbGoRV1xwXLW/H2XrJef4Pl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nkZ19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vInLABAABP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FmeH8jhucUb7Hy/7n7/3v76TaXVdJOp9rDHz0WNuGj7BgOlZuuyP6MydDyrY&#10;/MWeCMYRbXcSWA6JiPxoPpvPKwwJjI0XxGHn5z7E9FmCJdloaMAJFmH59ktMh9QxJVdzcKeNKVM0&#10;7i8HYmYPO3PMVhpWw5H4Ctod9tPj8BvqcDspMfcOtc17MhphNFajsfFBrzukNi28ov+4SUiicMsV&#10;DrDHwji10t1xw/Ja/HkvWef/YPk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RbyJywAQAA&#10;Tw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ZTKrEBAABPAwAADgAAAGRycy9lMm9Eb2MueG1srVPBbtswDL0P2D8I&#10;ui+yM2AIjDhFi6LFgGEr0O0DFFmKBUiiICmx8wPbH+y0S+/9rnzHKCVOt/ZW9CJTJPX4HkkvL0Zr&#10;yE6GqMG1tJ5VlEgnoNNu09If328+LCiJibuOG3CypXsZ6cXq/bvl4Bs5hx5MJwNBEBebwbe0T8k3&#10;jEXRS8vjDLx0GFQQLE94DRvWBT4gujVsXlWf2ACh8wGEjBG918cgXRV8paRI35SKMhHTUuSWyhnK&#10;uc4nWy15swnc91qcaPBXsLBcOyx6hrrmiZNt0C+grBYBIqg0E2AZKKWFLBpQTV09U3Pfcy+LFmxO&#10;9Oc2xbeDFV93d4HoDmdXU+K4xRkdfv86/Hk8PPwkdfWxzi0afGww895jbhqvYMT0yR/RmZWPKtj8&#10;RU0E49js/bnBckxE5EeL+WJRYUhgbLogPnt67kNMtxIsyUZLA06wNJbvvsR0TJ1ScjUHN9qYMkXj&#10;/nMgZvawzP3IMVtpXI8nQWvo9qhnwOG31OF2UmI+O+xt3pPJCJOxnoytD3rTI7W68Ir+cpuQROGW&#10;KxxhT4VxakXdacPyWvx7L1lP/8H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eVlMq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南京市外事翻译中心</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BE5A31"/>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2F32C9C"/>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1237</Words>
  <Characters>7056</Characters>
  <Lines>58</Lines>
  <Paragraphs>16</Paragraphs>
  <TotalTime>7</TotalTime>
  <ScaleCrop>false</ScaleCrop>
  <LinksUpToDate>false</LinksUpToDate>
  <CharactersWithSpaces>8277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2025-01-24T06:26:07Z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2052-11.8.2.8411</vt:lpwstr>
  </property>
  <property fmtid="{D5CDD505-2E9C-101B-9397-08002B2CF9AE}" pid="6" name="LastSaved">
    <vt:filetime>2021-04-15T00:00:00Z</vt:filetime>
  </property>
</Properties>
</file>