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2FB1B">
      <w:pPr>
        <w:widowControl/>
        <w:spacing w:line="579" w:lineRule="exact"/>
        <w:ind w:firstLine="482"/>
        <w:jc w:val="center"/>
        <w:rPr>
          <w:rFonts w:ascii="方正小标宋简体" w:hAnsi="Times New Roman" w:eastAsia="方正小标宋简体" w:cs="Times New Roman"/>
          <w:color w:val="333333"/>
          <w:kern w:val="0"/>
          <w:sz w:val="44"/>
          <w:szCs w:val="44"/>
        </w:rPr>
      </w:pPr>
      <w:r>
        <w:rPr>
          <w:rFonts w:hint="eastAsia" w:ascii="方正小标宋简体" w:hAnsi="Times New Roman" w:eastAsia="方正小标宋简体" w:cs="Times New Roman"/>
          <w:color w:val="333333"/>
          <w:kern w:val="0"/>
          <w:sz w:val="44"/>
          <w:szCs w:val="44"/>
        </w:rPr>
        <w:t>南京市人民政府外事办公室</w:t>
      </w:r>
    </w:p>
    <w:p w14:paraId="586E2D65">
      <w:pPr>
        <w:widowControl/>
        <w:spacing w:line="579" w:lineRule="exact"/>
        <w:ind w:firstLine="482"/>
        <w:jc w:val="center"/>
        <w:rPr>
          <w:rFonts w:ascii="Times New Roman" w:hAnsi="Times New Roman" w:eastAsia="方正仿宋_GBK" w:cs="Times New Roman"/>
          <w:color w:val="333333"/>
          <w:kern w:val="0"/>
          <w:sz w:val="44"/>
          <w:szCs w:val="44"/>
        </w:rPr>
      </w:pPr>
      <w:r>
        <w:rPr>
          <w:rFonts w:hint="eastAsia" w:ascii="方正小标宋简体" w:hAnsi="Times New Roman" w:eastAsia="方正小标宋简体" w:cs="Times New Roman"/>
          <w:color w:val="333333"/>
          <w:kern w:val="0"/>
          <w:sz w:val="44"/>
          <w:szCs w:val="44"/>
        </w:rPr>
        <w:t>202</w:t>
      </w:r>
      <w:r>
        <w:rPr>
          <w:rFonts w:hint="eastAsia" w:ascii="方正小标宋简体" w:hAnsi="Times New Roman" w:eastAsia="方正小标宋简体" w:cs="Times New Roman"/>
          <w:color w:val="333333"/>
          <w:kern w:val="0"/>
          <w:sz w:val="44"/>
          <w:szCs w:val="44"/>
          <w:lang w:val="en-US" w:eastAsia="zh-CN"/>
        </w:rPr>
        <w:t>5</w:t>
      </w:r>
      <w:r>
        <w:rPr>
          <w:rFonts w:hint="eastAsia" w:ascii="方正小标宋简体" w:hAnsi="Times New Roman" w:eastAsia="方正小标宋简体" w:cs="Times New Roman"/>
          <w:color w:val="333333"/>
          <w:kern w:val="0"/>
          <w:sz w:val="44"/>
          <w:szCs w:val="44"/>
        </w:rPr>
        <w:t>年度部门整体支出绩效自评报告</w:t>
      </w:r>
    </w:p>
    <w:p w14:paraId="15B8BED1">
      <w:pPr>
        <w:widowControl/>
        <w:spacing w:line="579"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 </w:t>
      </w:r>
    </w:p>
    <w:p w14:paraId="20DBAFF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为加强财政支出管理，提高财政资金使用效益，根据</w:t>
      </w:r>
      <w:r>
        <w:rPr>
          <w:rFonts w:hint="eastAsia" w:ascii="Times New Roman" w:hAnsi="Times New Roman" w:eastAsia="方正仿宋_GBK" w:cs="Times New Roman"/>
          <w:color w:val="000000"/>
          <w:sz w:val="32"/>
          <w:szCs w:val="22"/>
          <w:lang w:eastAsia="zh-CN"/>
        </w:rPr>
        <w:t>《2026年南京市市级部门（单位）预算绩效管理任务清单》（宁财绩〔2026〕59号）、《关于开展2025年度市级预算绩效单位自评和部门评价的通知》（宁财绩通〔2026〕7号）</w:t>
      </w:r>
      <w:r>
        <w:rPr>
          <w:rFonts w:hint="default" w:ascii="Times New Roman" w:hAnsi="Times New Roman" w:eastAsia="方正仿宋_GBK" w:cs="Times New Roman"/>
          <w:color w:val="000000"/>
          <w:sz w:val="32"/>
          <w:szCs w:val="22"/>
          <w:lang w:eastAsia="zh-CN"/>
        </w:rPr>
        <w:t>等文件精神，我办绩效评价工作小组，于202</w:t>
      </w:r>
      <w:r>
        <w:rPr>
          <w:rFonts w:hint="eastAsia" w:ascii="Times New Roman" w:hAnsi="Times New Roman" w:eastAsia="方正仿宋_GBK" w:cs="Times New Roman"/>
          <w:color w:val="000000"/>
          <w:sz w:val="32"/>
          <w:szCs w:val="22"/>
          <w:lang w:val="en-US" w:eastAsia="zh-CN"/>
        </w:rPr>
        <w:t>6</w:t>
      </w:r>
      <w:r>
        <w:rPr>
          <w:rFonts w:hint="default" w:ascii="Times New Roman" w:hAnsi="Times New Roman" w:eastAsia="方正仿宋_GBK" w:cs="Times New Roman"/>
          <w:color w:val="000000"/>
          <w:sz w:val="32"/>
          <w:szCs w:val="22"/>
          <w:lang w:eastAsia="zh-CN"/>
        </w:rPr>
        <w:t>年</w:t>
      </w:r>
      <w:r>
        <w:rPr>
          <w:rFonts w:hint="eastAsia" w:ascii="Times New Roman" w:hAnsi="Times New Roman" w:eastAsia="方正仿宋_GBK" w:cs="Times New Roman"/>
          <w:color w:val="000000"/>
          <w:sz w:val="32"/>
          <w:szCs w:val="22"/>
          <w:lang w:val="en-US" w:eastAsia="zh-CN"/>
        </w:rPr>
        <w:t>6</w:t>
      </w:r>
      <w:r>
        <w:rPr>
          <w:rFonts w:hint="default" w:ascii="Times New Roman" w:hAnsi="Times New Roman" w:eastAsia="方正仿宋_GBK" w:cs="Times New Roman"/>
          <w:color w:val="000000"/>
          <w:sz w:val="32"/>
          <w:szCs w:val="22"/>
          <w:lang w:eastAsia="zh-CN"/>
        </w:rPr>
        <w:t>月</w:t>
      </w:r>
      <w:r>
        <w:rPr>
          <w:rFonts w:hint="eastAsia" w:ascii="Times New Roman" w:hAnsi="Times New Roman" w:eastAsia="方正仿宋_GBK" w:cs="Times New Roman"/>
          <w:color w:val="000000"/>
          <w:sz w:val="32"/>
          <w:szCs w:val="22"/>
          <w:lang w:val="en-US" w:eastAsia="zh-CN"/>
        </w:rPr>
        <w:t>12</w:t>
      </w:r>
      <w:r>
        <w:rPr>
          <w:rFonts w:hint="default" w:ascii="Times New Roman" w:hAnsi="Times New Roman" w:eastAsia="方正仿宋_GBK" w:cs="Times New Roman"/>
          <w:color w:val="000000"/>
          <w:sz w:val="32"/>
          <w:szCs w:val="22"/>
          <w:lang w:eastAsia="zh-CN"/>
        </w:rPr>
        <w:t>日至202</w:t>
      </w:r>
      <w:r>
        <w:rPr>
          <w:rFonts w:hint="eastAsia" w:ascii="Times New Roman" w:hAnsi="Times New Roman" w:eastAsia="方正仿宋_GBK" w:cs="Times New Roman"/>
          <w:color w:val="000000"/>
          <w:sz w:val="32"/>
          <w:szCs w:val="22"/>
          <w:lang w:val="en-US" w:eastAsia="zh-CN"/>
        </w:rPr>
        <w:t>6</w:t>
      </w:r>
      <w:r>
        <w:rPr>
          <w:rFonts w:hint="default" w:ascii="Times New Roman" w:hAnsi="Times New Roman" w:eastAsia="方正仿宋_GBK" w:cs="Times New Roman"/>
          <w:color w:val="000000"/>
          <w:sz w:val="32"/>
          <w:szCs w:val="22"/>
          <w:lang w:eastAsia="zh-CN"/>
        </w:rPr>
        <w:t>年</w:t>
      </w:r>
      <w:r>
        <w:rPr>
          <w:rFonts w:hint="eastAsia" w:ascii="Times New Roman" w:hAnsi="Times New Roman" w:eastAsia="方正仿宋_GBK" w:cs="Times New Roman"/>
          <w:color w:val="000000"/>
          <w:sz w:val="32"/>
          <w:szCs w:val="22"/>
          <w:lang w:val="en-US" w:eastAsia="zh-CN"/>
        </w:rPr>
        <w:t>6</w:t>
      </w:r>
      <w:r>
        <w:rPr>
          <w:rFonts w:hint="default" w:ascii="Times New Roman" w:hAnsi="Times New Roman" w:eastAsia="方正仿宋_GBK" w:cs="Times New Roman"/>
          <w:color w:val="000000"/>
          <w:sz w:val="32"/>
          <w:szCs w:val="22"/>
          <w:lang w:eastAsia="zh-CN"/>
        </w:rPr>
        <w:t>月</w:t>
      </w:r>
      <w:r>
        <w:rPr>
          <w:rFonts w:hint="eastAsia" w:ascii="Times New Roman" w:hAnsi="Times New Roman" w:eastAsia="方正仿宋_GBK" w:cs="Times New Roman"/>
          <w:color w:val="000000"/>
          <w:sz w:val="32"/>
          <w:szCs w:val="22"/>
          <w:lang w:val="en-US" w:eastAsia="zh-CN"/>
        </w:rPr>
        <w:t>25日</w:t>
      </w:r>
      <w:r>
        <w:rPr>
          <w:rFonts w:hint="default" w:ascii="Times New Roman" w:hAnsi="Times New Roman" w:eastAsia="方正仿宋_GBK" w:cs="Times New Roman"/>
          <w:color w:val="000000"/>
          <w:sz w:val="32"/>
          <w:szCs w:val="22"/>
          <w:lang w:eastAsia="zh-CN"/>
        </w:rPr>
        <w:t>对我办202</w:t>
      </w:r>
      <w:r>
        <w:rPr>
          <w:rFonts w:hint="eastAsia" w:ascii="Times New Roman" w:hAnsi="Times New Roman" w:eastAsia="方正仿宋_GBK" w:cs="Times New Roman"/>
          <w:color w:val="000000"/>
          <w:sz w:val="32"/>
          <w:szCs w:val="22"/>
          <w:lang w:val="en-US" w:eastAsia="zh-CN"/>
        </w:rPr>
        <w:t>5</w:t>
      </w:r>
      <w:r>
        <w:rPr>
          <w:rFonts w:hint="default" w:ascii="Times New Roman" w:hAnsi="Times New Roman" w:eastAsia="方正仿宋_GBK" w:cs="Times New Roman"/>
          <w:color w:val="000000"/>
          <w:sz w:val="32"/>
          <w:szCs w:val="22"/>
          <w:lang w:eastAsia="zh-CN"/>
        </w:rPr>
        <w:t>年</w:t>
      </w:r>
      <w:r>
        <w:rPr>
          <w:rFonts w:hint="eastAsia" w:ascii="Times New Roman" w:hAnsi="Times New Roman" w:eastAsia="方正仿宋_GBK" w:cs="Times New Roman"/>
          <w:color w:val="000000"/>
          <w:sz w:val="32"/>
          <w:szCs w:val="22"/>
          <w:lang w:eastAsia="zh-CN"/>
        </w:rPr>
        <w:t>部门</w:t>
      </w:r>
      <w:r>
        <w:rPr>
          <w:rFonts w:hint="default" w:ascii="Times New Roman" w:hAnsi="Times New Roman" w:eastAsia="方正仿宋_GBK" w:cs="Times New Roman"/>
          <w:color w:val="000000"/>
          <w:sz w:val="32"/>
          <w:szCs w:val="22"/>
          <w:lang w:eastAsia="zh-CN"/>
        </w:rPr>
        <w:t>整体支出进行了绩效自评。评价采用定量分析和定性分析相结合的方法，从预算配置、履职效益、预算管理、职责履行、预算执行情况和政策措施有效性、预算执行进度、结余结转率、内部控制制度、预决算信息公开，以及“三公经费”和机关运行经费支出控制情况等方面进行了综合评价。现将绩效自评情况报告如下：</w:t>
      </w:r>
    </w:p>
    <w:p w14:paraId="12BF44F1">
      <w:pPr>
        <w:widowControl/>
        <w:spacing w:line="579" w:lineRule="exact"/>
        <w:ind w:firstLine="48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一、单位基本情况</w:t>
      </w:r>
    </w:p>
    <w:p w14:paraId="7BA6AD8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pacing w:val="0"/>
          <w:sz w:val="32"/>
          <w:szCs w:val="32"/>
          <w:lang w:eastAsia="zh-CN"/>
        </w:rPr>
      </w:pPr>
      <w:r>
        <w:rPr>
          <w:rFonts w:hint="default" w:ascii="Times New Roman" w:hAnsi="Times New Roman" w:eastAsia="楷体_GB2312" w:cs="Times New Roman"/>
          <w:color w:val="000000"/>
          <w:spacing w:val="0"/>
          <w:sz w:val="32"/>
          <w:szCs w:val="32"/>
          <w:lang w:eastAsia="zh-CN"/>
        </w:rPr>
        <w:t>（一）单位概况</w:t>
      </w:r>
    </w:p>
    <w:p w14:paraId="39E63CC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市政府外事办公室主要职责是：贯彻执行党和国家对外方针政策和法律法规，落实省委、省政府和市委、市政府有关外事工作的指示和决定，负责政策指导、业务考核、监督检查工作。承担市委外事工作委员会日常工作。管理、统筹协调全市各领域对外交流与合作，拟订外事工作相关政策规划。研究分析各国发展动态和政策走向，围绕我市经济建设、社会发展和对外开放，为市委、市政府提供外事工作决策的建议。贯彻执行中央对香港、澳门的政策规定，统筹协调和归口管理我市与香港、澳门特别行政区往来工作。统筹安排并承办市委、市人大常委会、市政府和市政协领导同志的出访和国内外事活动事项。接待来我市访问的党宾、国宾和其他重要外宾。承办外国有关人员来访事宜。指导全市重要外事活动的礼宾工作。会同有关部门做好涉外参观单位的建设工作。承担我市与外国有关领事机构、国际组织的业务联系和交涉工作。指导、协调我市举办国际会议的报批事宜。负责全市因公出国（境）工作的归口管理、协调服务和监督工作。在授权范围内，审核或审批相关人员因公出国（境）事项，承担我市因公出国（境）人员证照和签证、签注的申办业务。会同有关部门落实外事纪律及保密制度。承办我市对外交往事务，归口管理我市与外国友好城市和其他单位结好与交往事宜。指导我市民间对外交往工作。承担授予外国人荣誉称号、名誉职务和给予重要奖励等有关工作。协助有关部门管理来我市的外国人工作，依法保障来我市外国人的合法权益。负责海外侨务工作。指导、协调、管理我市社会组织对外交往事宜。会同有关部门协调处理重要涉外事件和案件。协调指导我市境外机构、公民安全与合法权益保护工作。指导全市涉外应急事务处理。负责全市外事干部和涉外人员的教育培训工作。会同有关部门进行对外宣传和群众性外事教育。主管来我市采访的外国记者和外国常驻我市的新闻机构事务。代管市人民对外友好协会。完成市委、市政府交办的其他事项。市外办内设机构9个：市委外事工作委员会办公室综合协调处、秘书行政处、出国来华管理处、美大处、欧非处、亚洲处、港澳事务处（多边合作处）、涉外管理处、友协工作处。另设机关党委</w:t>
      </w:r>
      <w:r>
        <w:rPr>
          <w:rFonts w:hint="eastAsia" w:ascii="Times New Roman" w:hAnsi="Times New Roman" w:eastAsia="方正仿宋_GBK" w:cs="Times New Roman"/>
          <w:color w:val="000000"/>
          <w:sz w:val="32"/>
          <w:szCs w:val="22"/>
          <w:lang w:eastAsia="zh-CN"/>
        </w:rPr>
        <w:t>。</w:t>
      </w:r>
      <w:r>
        <w:rPr>
          <w:rFonts w:hint="default" w:ascii="Times New Roman" w:hAnsi="Times New Roman" w:eastAsia="方正仿宋_GBK" w:cs="Times New Roman"/>
          <w:color w:val="000000"/>
          <w:sz w:val="32"/>
          <w:szCs w:val="22"/>
          <w:lang w:eastAsia="zh-CN"/>
        </w:rPr>
        <w:t>本部门下属单位包括：南京市外事翻译中心。南京市人民政府外事办公室</w:t>
      </w:r>
      <w:r>
        <w:rPr>
          <w:rFonts w:hint="eastAsia" w:ascii="Times New Roman" w:hAnsi="Times New Roman" w:eastAsia="方正仿宋_GBK" w:cs="Times New Roman"/>
          <w:color w:val="000000"/>
          <w:sz w:val="32"/>
          <w:szCs w:val="22"/>
          <w:lang w:eastAsia="zh-CN"/>
        </w:rPr>
        <w:t>行政</w:t>
      </w:r>
      <w:r>
        <w:rPr>
          <w:rFonts w:hint="default" w:ascii="Times New Roman" w:hAnsi="Times New Roman" w:eastAsia="方正仿宋_GBK" w:cs="Times New Roman"/>
          <w:color w:val="000000"/>
          <w:sz w:val="32"/>
          <w:szCs w:val="22"/>
          <w:lang w:eastAsia="zh-CN"/>
        </w:rPr>
        <w:t>编制</w:t>
      </w:r>
      <w:r>
        <w:rPr>
          <w:rFonts w:hint="eastAsia" w:ascii="Times New Roman" w:hAnsi="Times New Roman" w:eastAsia="方正仿宋_GBK" w:cs="Times New Roman"/>
          <w:color w:val="000000"/>
          <w:sz w:val="32"/>
          <w:szCs w:val="22"/>
          <w:lang w:val="en-US" w:eastAsia="zh-CN"/>
        </w:rPr>
        <w:t>50</w:t>
      </w:r>
      <w:r>
        <w:rPr>
          <w:rFonts w:hint="default" w:ascii="Times New Roman" w:hAnsi="Times New Roman" w:eastAsia="方正仿宋_GBK" w:cs="Times New Roman"/>
          <w:color w:val="000000"/>
          <w:sz w:val="32"/>
          <w:szCs w:val="22"/>
          <w:lang w:eastAsia="zh-CN"/>
        </w:rPr>
        <w:t>人，截至202</w:t>
      </w:r>
      <w:r>
        <w:rPr>
          <w:rFonts w:hint="eastAsia" w:ascii="Times New Roman" w:hAnsi="Times New Roman" w:eastAsia="方正仿宋_GBK" w:cs="Times New Roman"/>
          <w:color w:val="000000"/>
          <w:sz w:val="32"/>
          <w:szCs w:val="22"/>
          <w:lang w:val="en-US" w:eastAsia="zh-CN"/>
        </w:rPr>
        <w:t>5</w:t>
      </w:r>
      <w:r>
        <w:rPr>
          <w:rFonts w:hint="default" w:ascii="Times New Roman" w:hAnsi="Times New Roman" w:eastAsia="方正仿宋_GBK" w:cs="Times New Roman"/>
          <w:color w:val="000000"/>
          <w:sz w:val="32"/>
          <w:szCs w:val="22"/>
          <w:lang w:eastAsia="zh-CN"/>
        </w:rPr>
        <w:t>年末实有</w:t>
      </w:r>
      <w:r>
        <w:rPr>
          <w:rFonts w:hint="eastAsia" w:ascii="Times New Roman" w:hAnsi="Times New Roman" w:eastAsia="方正仿宋_GBK" w:cs="Times New Roman"/>
          <w:color w:val="000000"/>
          <w:sz w:val="32"/>
          <w:szCs w:val="22"/>
          <w:lang w:val="en-US" w:eastAsia="zh-CN"/>
        </w:rPr>
        <w:t>49</w:t>
      </w:r>
      <w:r>
        <w:rPr>
          <w:rFonts w:hint="default" w:ascii="Times New Roman" w:hAnsi="Times New Roman" w:eastAsia="方正仿宋_GBK" w:cs="Times New Roman"/>
          <w:color w:val="000000"/>
          <w:sz w:val="32"/>
          <w:szCs w:val="22"/>
          <w:lang w:eastAsia="zh-CN"/>
        </w:rPr>
        <w:t>人</w:t>
      </w:r>
      <w:r>
        <w:rPr>
          <w:rFonts w:hint="eastAsia" w:ascii="Times New Roman" w:hAnsi="Times New Roman" w:eastAsia="方正仿宋_GBK" w:cs="Times New Roman"/>
          <w:color w:val="000000"/>
          <w:sz w:val="32"/>
          <w:szCs w:val="22"/>
          <w:lang w:eastAsia="zh-CN"/>
        </w:rPr>
        <w:t>；事业编制9人，截至202</w:t>
      </w:r>
      <w:r>
        <w:rPr>
          <w:rFonts w:hint="eastAsia" w:ascii="Times New Roman" w:hAnsi="Times New Roman" w:eastAsia="方正仿宋_GBK" w:cs="Times New Roman"/>
          <w:color w:val="000000"/>
          <w:sz w:val="32"/>
          <w:szCs w:val="22"/>
          <w:lang w:val="en-US" w:eastAsia="zh-CN"/>
        </w:rPr>
        <w:t>5</w:t>
      </w:r>
      <w:r>
        <w:rPr>
          <w:rFonts w:hint="eastAsia" w:ascii="Times New Roman" w:hAnsi="Times New Roman" w:eastAsia="方正仿宋_GBK" w:cs="Times New Roman"/>
          <w:color w:val="000000"/>
          <w:sz w:val="32"/>
          <w:szCs w:val="22"/>
          <w:lang w:eastAsia="zh-CN"/>
        </w:rPr>
        <w:t>年末实有7人</w:t>
      </w:r>
      <w:r>
        <w:rPr>
          <w:rFonts w:hint="default" w:ascii="Times New Roman" w:hAnsi="Times New Roman" w:eastAsia="方正仿宋_GBK" w:cs="Times New Roman"/>
          <w:color w:val="000000"/>
          <w:sz w:val="32"/>
          <w:szCs w:val="22"/>
          <w:lang w:eastAsia="zh-CN"/>
        </w:rPr>
        <w:t>。</w:t>
      </w:r>
    </w:p>
    <w:p w14:paraId="0CD792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pacing w:val="0"/>
          <w:sz w:val="32"/>
          <w:szCs w:val="32"/>
          <w:lang w:eastAsia="zh-CN"/>
        </w:rPr>
      </w:pPr>
      <w:r>
        <w:rPr>
          <w:rFonts w:hint="default" w:ascii="Times New Roman" w:hAnsi="Times New Roman" w:eastAsia="楷体_GB2312" w:cs="Times New Roman"/>
          <w:color w:val="000000"/>
          <w:spacing w:val="0"/>
          <w:sz w:val="32"/>
          <w:szCs w:val="32"/>
          <w:lang w:eastAsia="zh-CN"/>
        </w:rPr>
        <w:t>（二）部门收支情况</w:t>
      </w:r>
    </w:p>
    <w:p w14:paraId="62EEACC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202</w:t>
      </w:r>
      <w:r>
        <w:rPr>
          <w:rFonts w:hint="eastAsia" w:ascii="Times New Roman" w:hAnsi="Times New Roman" w:eastAsia="方正仿宋_GBK" w:cs="Times New Roman"/>
          <w:color w:val="000000"/>
          <w:sz w:val="32"/>
          <w:szCs w:val="22"/>
          <w:lang w:val="en-US" w:eastAsia="zh-CN"/>
        </w:rPr>
        <w:t>5</w:t>
      </w:r>
      <w:r>
        <w:rPr>
          <w:rFonts w:hint="default" w:ascii="Times New Roman" w:hAnsi="Times New Roman" w:eastAsia="方正仿宋_GBK" w:cs="Times New Roman"/>
          <w:color w:val="000000"/>
          <w:sz w:val="32"/>
          <w:szCs w:val="22"/>
          <w:lang w:eastAsia="zh-CN"/>
        </w:rPr>
        <w:t>年初市财政局批复市外办</w:t>
      </w:r>
      <w:r>
        <w:rPr>
          <w:rFonts w:hint="eastAsia" w:ascii="Times New Roman" w:hAnsi="Times New Roman" w:eastAsia="方正仿宋_GBK" w:cs="Times New Roman"/>
          <w:color w:val="000000"/>
          <w:sz w:val="32"/>
          <w:szCs w:val="22"/>
          <w:lang w:eastAsia="zh-CN"/>
        </w:rPr>
        <w:t>部门</w:t>
      </w:r>
      <w:r>
        <w:rPr>
          <w:rFonts w:hint="default" w:ascii="Times New Roman" w:hAnsi="Times New Roman" w:eastAsia="方正仿宋_GBK" w:cs="Times New Roman"/>
          <w:color w:val="000000"/>
          <w:sz w:val="32"/>
          <w:szCs w:val="22"/>
          <w:lang w:eastAsia="zh-CN"/>
        </w:rPr>
        <w:t>预算收入总计为</w:t>
      </w:r>
      <w:r>
        <w:rPr>
          <w:rFonts w:hint="eastAsia" w:ascii="Times New Roman" w:hAnsi="Times New Roman" w:eastAsia="方正仿宋_GBK" w:cs="Times New Roman"/>
          <w:color w:val="000000"/>
          <w:sz w:val="32"/>
          <w:szCs w:val="22"/>
          <w:lang w:eastAsia="zh-CN"/>
        </w:rPr>
        <w:t>2788.04</w:t>
      </w:r>
      <w:r>
        <w:rPr>
          <w:rFonts w:hint="default" w:ascii="Times New Roman" w:hAnsi="Times New Roman" w:eastAsia="方正仿宋_GBK" w:cs="Times New Roman"/>
          <w:color w:val="000000"/>
          <w:sz w:val="32"/>
          <w:szCs w:val="22"/>
          <w:lang w:eastAsia="zh-CN"/>
        </w:rPr>
        <w:t>万元，调整后预算收入总计</w:t>
      </w:r>
      <w:r>
        <w:rPr>
          <w:rFonts w:hint="eastAsia" w:ascii="Times New Roman" w:hAnsi="Times New Roman" w:eastAsia="方正仿宋_GBK" w:cs="Times New Roman"/>
          <w:color w:val="000000"/>
          <w:sz w:val="32"/>
          <w:szCs w:val="22"/>
          <w:lang w:eastAsia="zh-CN"/>
        </w:rPr>
        <w:t>3729.48</w:t>
      </w:r>
      <w:r>
        <w:rPr>
          <w:rFonts w:hint="default" w:ascii="Times New Roman" w:hAnsi="Times New Roman" w:eastAsia="方正仿宋_GBK" w:cs="Times New Roman"/>
          <w:color w:val="000000"/>
          <w:sz w:val="32"/>
          <w:szCs w:val="22"/>
          <w:lang w:eastAsia="zh-CN"/>
        </w:rPr>
        <w:t>万元；实际全年收入</w:t>
      </w:r>
      <w:r>
        <w:rPr>
          <w:rFonts w:hint="eastAsia" w:ascii="Times New Roman" w:hAnsi="Times New Roman" w:eastAsia="方正仿宋_GBK" w:cs="Times New Roman"/>
          <w:color w:val="000000"/>
          <w:sz w:val="32"/>
          <w:szCs w:val="22"/>
          <w:lang w:eastAsia="zh-CN"/>
        </w:rPr>
        <w:t>3660.11</w:t>
      </w:r>
      <w:r>
        <w:rPr>
          <w:rFonts w:hint="default" w:ascii="Times New Roman" w:hAnsi="Times New Roman" w:eastAsia="方正仿宋_GBK" w:cs="Times New Roman"/>
          <w:color w:val="000000"/>
          <w:sz w:val="32"/>
          <w:szCs w:val="22"/>
          <w:lang w:eastAsia="zh-CN"/>
        </w:rPr>
        <w:t>万元；202</w:t>
      </w:r>
      <w:r>
        <w:rPr>
          <w:rFonts w:hint="eastAsia" w:ascii="Times New Roman" w:hAnsi="Times New Roman" w:eastAsia="方正仿宋_GBK" w:cs="Times New Roman"/>
          <w:color w:val="000000"/>
          <w:sz w:val="32"/>
          <w:szCs w:val="22"/>
          <w:lang w:val="en-US" w:eastAsia="zh-CN"/>
        </w:rPr>
        <w:t>5</w:t>
      </w:r>
      <w:r>
        <w:rPr>
          <w:rFonts w:hint="default" w:ascii="Times New Roman" w:hAnsi="Times New Roman" w:eastAsia="方正仿宋_GBK" w:cs="Times New Roman"/>
          <w:color w:val="000000"/>
          <w:sz w:val="32"/>
          <w:szCs w:val="22"/>
          <w:lang w:eastAsia="zh-CN"/>
        </w:rPr>
        <w:t>年实际决算支出</w:t>
      </w:r>
      <w:r>
        <w:rPr>
          <w:rFonts w:hint="eastAsia" w:ascii="Times New Roman" w:hAnsi="Times New Roman" w:eastAsia="方正仿宋_GBK" w:cs="Times New Roman"/>
          <w:color w:val="000000"/>
          <w:sz w:val="32"/>
          <w:szCs w:val="22"/>
          <w:lang w:eastAsia="zh-CN"/>
        </w:rPr>
        <w:t>3660.11</w:t>
      </w:r>
      <w:r>
        <w:rPr>
          <w:rFonts w:hint="default" w:ascii="Times New Roman" w:hAnsi="Times New Roman" w:eastAsia="方正仿宋_GBK" w:cs="Times New Roman"/>
          <w:color w:val="000000"/>
          <w:sz w:val="32"/>
          <w:szCs w:val="22"/>
          <w:lang w:eastAsia="zh-CN"/>
        </w:rPr>
        <w:t>万元。</w:t>
      </w:r>
    </w:p>
    <w:p w14:paraId="6BDE85B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202</w:t>
      </w:r>
      <w:r>
        <w:rPr>
          <w:rFonts w:hint="eastAsia" w:ascii="Times New Roman" w:hAnsi="Times New Roman" w:eastAsia="方正仿宋_GBK" w:cs="Times New Roman"/>
          <w:color w:val="000000"/>
          <w:sz w:val="32"/>
          <w:szCs w:val="22"/>
          <w:lang w:val="en-US" w:eastAsia="zh-CN"/>
        </w:rPr>
        <w:t>5</w:t>
      </w:r>
      <w:r>
        <w:rPr>
          <w:rFonts w:hint="default" w:ascii="Times New Roman" w:hAnsi="Times New Roman" w:eastAsia="方正仿宋_GBK" w:cs="Times New Roman"/>
          <w:color w:val="000000"/>
          <w:sz w:val="32"/>
          <w:szCs w:val="22"/>
          <w:lang w:eastAsia="zh-CN"/>
        </w:rPr>
        <w:t>年决算总支出</w:t>
      </w:r>
      <w:r>
        <w:rPr>
          <w:rFonts w:hint="eastAsia" w:ascii="Times New Roman" w:hAnsi="Times New Roman" w:eastAsia="方正仿宋_GBK" w:cs="Times New Roman"/>
          <w:color w:val="000000"/>
          <w:sz w:val="32"/>
          <w:szCs w:val="22"/>
          <w:lang w:eastAsia="zh-CN"/>
        </w:rPr>
        <w:t>3660.11</w:t>
      </w:r>
      <w:r>
        <w:rPr>
          <w:rFonts w:hint="default" w:ascii="Times New Roman" w:hAnsi="Times New Roman" w:eastAsia="方正仿宋_GBK" w:cs="Times New Roman"/>
          <w:color w:val="000000"/>
          <w:sz w:val="32"/>
          <w:szCs w:val="22"/>
          <w:lang w:eastAsia="zh-CN"/>
        </w:rPr>
        <w:t>万元。按支出功能分类，其中：基本支出</w:t>
      </w:r>
      <w:r>
        <w:rPr>
          <w:rFonts w:hint="eastAsia" w:ascii="Times New Roman" w:hAnsi="Times New Roman" w:eastAsia="方正仿宋_GBK" w:cs="Times New Roman"/>
          <w:color w:val="000000"/>
          <w:sz w:val="32"/>
          <w:szCs w:val="22"/>
          <w:lang w:eastAsia="zh-CN"/>
        </w:rPr>
        <w:t>2862.87</w:t>
      </w:r>
      <w:r>
        <w:rPr>
          <w:rFonts w:hint="default" w:ascii="Times New Roman" w:hAnsi="Times New Roman" w:eastAsia="方正仿宋_GBK" w:cs="Times New Roman"/>
          <w:color w:val="000000"/>
          <w:sz w:val="32"/>
          <w:szCs w:val="22"/>
          <w:lang w:eastAsia="zh-CN"/>
        </w:rPr>
        <w:t>万元、项目支出</w:t>
      </w:r>
      <w:r>
        <w:rPr>
          <w:rFonts w:hint="eastAsia" w:ascii="Times New Roman" w:hAnsi="Times New Roman" w:eastAsia="方正仿宋_GBK" w:cs="Times New Roman"/>
          <w:color w:val="000000"/>
          <w:sz w:val="32"/>
          <w:szCs w:val="22"/>
          <w:lang w:eastAsia="zh-CN"/>
        </w:rPr>
        <w:t>797.2</w:t>
      </w:r>
      <w:r>
        <w:rPr>
          <w:rFonts w:hint="eastAsia" w:ascii="Times New Roman" w:hAnsi="Times New Roman" w:eastAsia="方正仿宋_GBK" w:cs="Times New Roman"/>
          <w:color w:val="000000"/>
          <w:sz w:val="32"/>
          <w:szCs w:val="22"/>
          <w:lang w:val="en-US" w:eastAsia="zh-CN"/>
        </w:rPr>
        <w:t>4</w:t>
      </w:r>
      <w:r>
        <w:rPr>
          <w:rFonts w:hint="default" w:ascii="Times New Roman" w:hAnsi="Times New Roman" w:eastAsia="方正仿宋_GBK" w:cs="Times New Roman"/>
          <w:color w:val="000000"/>
          <w:sz w:val="32"/>
          <w:szCs w:val="22"/>
          <w:lang w:eastAsia="zh-CN"/>
        </w:rPr>
        <w:t>万元；按经济用途分类，其中：工资福利支出</w:t>
      </w:r>
      <w:r>
        <w:rPr>
          <w:rFonts w:hint="eastAsia" w:ascii="Times New Roman" w:hAnsi="Times New Roman" w:eastAsia="方正仿宋_GBK" w:cs="Times New Roman"/>
          <w:color w:val="000000"/>
          <w:sz w:val="32"/>
          <w:szCs w:val="22"/>
          <w:lang w:val="en-US" w:eastAsia="zh-CN"/>
        </w:rPr>
        <w:t>2381.89</w:t>
      </w:r>
      <w:r>
        <w:rPr>
          <w:rFonts w:hint="default" w:ascii="Times New Roman" w:hAnsi="Times New Roman" w:eastAsia="方正仿宋_GBK" w:cs="Times New Roman"/>
          <w:color w:val="000000"/>
          <w:sz w:val="32"/>
          <w:szCs w:val="22"/>
          <w:lang w:eastAsia="zh-CN"/>
        </w:rPr>
        <w:t>万元、商品和服务支出</w:t>
      </w:r>
      <w:r>
        <w:rPr>
          <w:rFonts w:hint="eastAsia" w:ascii="Times New Roman" w:hAnsi="Times New Roman" w:eastAsia="方正仿宋_GBK" w:cs="Times New Roman"/>
          <w:color w:val="000000"/>
          <w:sz w:val="32"/>
          <w:szCs w:val="22"/>
          <w:lang w:val="en-US" w:eastAsia="zh-CN"/>
        </w:rPr>
        <w:t>885.39</w:t>
      </w:r>
      <w:r>
        <w:rPr>
          <w:rFonts w:hint="default" w:ascii="Times New Roman" w:hAnsi="Times New Roman" w:eastAsia="方正仿宋_GBK" w:cs="Times New Roman"/>
          <w:color w:val="000000"/>
          <w:sz w:val="32"/>
          <w:szCs w:val="22"/>
          <w:lang w:eastAsia="zh-CN"/>
        </w:rPr>
        <w:t>万元，对个人和家庭的补助</w:t>
      </w:r>
      <w:r>
        <w:rPr>
          <w:rFonts w:hint="eastAsia" w:ascii="Times New Roman" w:hAnsi="Times New Roman" w:eastAsia="方正仿宋_GBK" w:cs="Times New Roman"/>
          <w:color w:val="000000"/>
          <w:sz w:val="32"/>
          <w:szCs w:val="22"/>
          <w:lang w:val="en-US" w:eastAsia="zh-CN"/>
        </w:rPr>
        <w:t>333.22</w:t>
      </w:r>
      <w:r>
        <w:rPr>
          <w:rFonts w:hint="default" w:ascii="Times New Roman" w:hAnsi="Times New Roman" w:eastAsia="方正仿宋_GBK" w:cs="Times New Roman"/>
          <w:color w:val="000000"/>
          <w:sz w:val="32"/>
          <w:szCs w:val="22"/>
          <w:lang w:eastAsia="zh-CN"/>
        </w:rPr>
        <w:t>万元，资本性支出</w:t>
      </w:r>
      <w:r>
        <w:rPr>
          <w:rFonts w:hint="eastAsia" w:ascii="Times New Roman" w:hAnsi="Times New Roman" w:eastAsia="方正仿宋_GBK" w:cs="Times New Roman"/>
          <w:color w:val="000000"/>
          <w:sz w:val="32"/>
          <w:szCs w:val="22"/>
          <w:lang w:val="en-US" w:eastAsia="zh-CN"/>
        </w:rPr>
        <w:t>59.61</w:t>
      </w:r>
      <w:r>
        <w:rPr>
          <w:rFonts w:hint="default" w:ascii="Times New Roman" w:hAnsi="Times New Roman" w:eastAsia="方正仿宋_GBK" w:cs="Times New Roman"/>
          <w:color w:val="000000"/>
          <w:sz w:val="32"/>
          <w:szCs w:val="22"/>
          <w:lang w:eastAsia="zh-CN"/>
        </w:rPr>
        <w:t>万元。</w:t>
      </w:r>
    </w:p>
    <w:p w14:paraId="404D0D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000000"/>
          <w:spacing w:val="0"/>
          <w:sz w:val="32"/>
          <w:szCs w:val="32"/>
          <w:lang w:eastAsia="zh-CN"/>
        </w:rPr>
      </w:pPr>
      <w:r>
        <w:rPr>
          <w:rFonts w:hint="default" w:ascii="Times New Roman" w:hAnsi="Times New Roman" w:eastAsia="楷体_GB2312" w:cs="Times New Roman"/>
          <w:color w:val="000000"/>
          <w:spacing w:val="0"/>
          <w:sz w:val="32"/>
          <w:szCs w:val="32"/>
          <w:lang w:eastAsia="zh-CN"/>
        </w:rPr>
        <w:t>（三）部门绩效目标</w:t>
      </w:r>
    </w:p>
    <w:p w14:paraId="58B08B1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202</w:t>
      </w:r>
      <w:r>
        <w:rPr>
          <w:rFonts w:hint="eastAsia" w:ascii="Times New Roman" w:hAnsi="Times New Roman" w:eastAsia="方正仿宋_GBK" w:cs="Times New Roman"/>
          <w:color w:val="000000"/>
          <w:sz w:val="32"/>
          <w:szCs w:val="22"/>
          <w:lang w:val="en-US" w:eastAsia="zh-CN"/>
        </w:rPr>
        <w:t>5</w:t>
      </w:r>
      <w:r>
        <w:rPr>
          <w:rFonts w:hint="default" w:ascii="Times New Roman" w:hAnsi="Times New Roman" w:eastAsia="方正仿宋_GBK" w:cs="Times New Roman"/>
          <w:color w:val="000000"/>
          <w:sz w:val="32"/>
          <w:szCs w:val="22"/>
          <w:lang w:eastAsia="zh-CN"/>
        </w:rPr>
        <w:t>年度主要工作安排如下：</w:t>
      </w:r>
    </w:p>
    <w:p w14:paraId="30EBC83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1.服务中心大局，</w:t>
      </w:r>
      <w:r>
        <w:rPr>
          <w:rFonts w:hint="eastAsia" w:ascii="Times New Roman" w:hAnsi="Times New Roman" w:eastAsia="方正仿宋_GBK" w:cs="Times New Roman"/>
          <w:color w:val="000000"/>
          <w:sz w:val="32"/>
          <w:szCs w:val="22"/>
          <w:lang w:val="en-US" w:eastAsia="zh-CN"/>
        </w:rPr>
        <w:t>加强对外交流</w:t>
      </w:r>
      <w:r>
        <w:rPr>
          <w:rFonts w:hint="default" w:ascii="Times New Roman" w:hAnsi="Times New Roman" w:eastAsia="方正仿宋_GBK" w:cs="Times New Roman"/>
          <w:color w:val="000000"/>
          <w:sz w:val="32"/>
          <w:szCs w:val="22"/>
          <w:lang w:eastAsia="zh-CN"/>
        </w:rPr>
        <w:t>。</w:t>
      </w:r>
      <w:r>
        <w:rPr>
          <w:rFonts w:hint="default" w:ascii="Times New Roman" w:hAnsi="Times New Roman" w:eastAsia="方正仿宋_GBK" w:cs="Times New Roman"/>
          <w:b/>
          <w:bCs/>
          <w:color w:val="000000"/>
          <w:sz w:val="32"/>
          <w:szCs w:val="22"/>
          <w:lang w:eastAsia="zh-CN"/>
        </w:rPr>
        <w:t>一是</w:t>
      </w:r>
      <w:r>
        <w:rPr>
          <w:rFonts w:hint="eastAsia" w:ascii="Times New Roman" w:hAnsi="Times New Roman" w:eastAsia="方正仿宋_GBK" w:cs="Times New Roman"/>
          <w:color w:val="000000"/>
          <w:sz w:val="32"/>
          <w:szCs w:val="22"/>
          <w:lang w:val="en-US" w:eastAsia="zh-CN"/>
        </w:rPr>
        <w:t>配合国家总体外交，</w:t>
      </w:r>
      <w:r>
        <w:rPr>
          <w:rFonts w:hint="eastAsia" w:ascii="Times New Roman" w:hAnsi="Times New Roman" w:eastAsia="方正仿宋_GBK" w:cs="Times New Roman"/>
          <w:b/>
          <w:bCs/>
          <w:color w:val="000000"/>
          <w:sz w:val="32"/>
          <w:szCs w:val="22"/>
          <w:lang w:val="en-US" w:eastAsia="zh-CN"/>
        </w:rPr>
        <w:t>二是</w:t>
      </w:r>
      <w:r>
        <w:rPr>
          <w:rFonts w:hint="default" w:ascii="Times New Roman" w:hAnsi="Times New Roman" w:eastAsia="方正仿宋_GBK" w:cs="Times New Roman"/>
          <w:color w:val="000000"/>
          <w:sz w:val="32"/>
          <w:szCs w:val="22"/>
          <w:lang w:eastAsia="zh-CN"/>
        </w:rPr>
        <w:t>加强与友城交往互动，</w:t>
      </w:r>
      <w:r>
        <w:rPr>
          <w:rFonts w:hint="eastAsia" w:ascii="Times New Roman" w:hAnsi="Times New Roman" w:eastAsia="方正仿宋_GBK" w:cs="Times New Roman"/>
          <w:b/>
          <w:bCs/>
          <w:color w:val="000000"/>
          <w:sz w:val="32"/>
          <w:szCs w:val="22"/>
          <w:lang w:val="en-US" w:eastAsia="zh-CN"/>
        </w:rPr>
        <w:t>三</w:t>
      </w:r>
      <w:r>
        <w:rPr>
          <w:rFonts w:hint="default" w:ascii="Times New Roman" w:hAnsi="Times New Roman" w:eastAsia="方正仿宋_GBK" w:cs="Times New Roman"/>
          <w:b/>
          <w:bCs/>
          <w:color w:val="000000"/>
          <w:sz w:val="32"/>
          <w:szCs w:val="22"/>
          <w:lang w:eastAsia="zh-CN"/>
        </w:rPr>
        <w:t>是</w:t>
      </w:r>
      <w:r>
        <w:rPr>
          <w:rFonts w:hint="default" w:ascii="Times New Roman" w:hAnsi="Times New Roman" w:eastAsia="方正仿宋_GBK" w:cs="Times New Roman"/>
          <w:color w:val="000000"/>
          <w:sz w:val="32"/>
          <w:szCs w:val="22"/>
          <w:lang w:eastAsia="zh-CN"/>
        </w:rPr>
        <w:t>开展宣介南京系列活动，</w:t>
      </w:r>
      <w:r>
        <w:rPr>
          <w:rFonts w:hint="eastAsia" w:ascii="Times New Roman" w:hAnsi="Times New Roman" w:eastAsia="方正仿宋_GBK" w:cs="Times New Roman"/>
          <w:b/>
          <w:bCs/>
          <w:color w:val="000000"/>
          <w:sz w:val="32"/>
          <w:szCs w:val="22"/>
          <w:lang w:val="en-US" w:eastAsia="zh-CN"/>
        </w:rPr>
        <w:t>四</w:t>
      </w:r>
      <w:r>
        <w:rPr>
          <w:rFonts w:hint="default" w:ascii="Times New Roman" w:hAnsi="Times New Roman" w:eastAsia="方正仿宋_GBK" w:cs="Times New Roman"/>
          <w:b/>
          <w:bCs/>
          <w:color w:val="000000"/>
          <w:sz w:val="32"/>
          <w:szCs w:val="22"/>
          <w:lang w:eastAsia="zh-CN"/>
        </w:rPr>
        <w:t>是</w:t>
      </w:r>
      <w:r>
        <w:rPr>
          <w:rFonts w:hint="default" w:ascii="Times New Roman" w:hAnsi="Times New Roman" w:eastAsia="方正仿宋_GBK" w:cs="Times New Roman"/>
          <w:color w:val="000000"/>
          <w:sz w:val="32"/>
          <w:szCs w:val="22"/>
          <w:lang w:eastAsia="zh-CN"/>
        </w:rPr>
        <w:t>做好</w:t>
      </w:r>
      <w:r>
        <w:rPr>
          <w:rFonts w:hint="eastAsia" w:ascii="Times New Roman" w:hAnsi="Times New Roman" w:eastAsia="方正仿宋_GBK" w:cs="Times New Roman"/>
          <w:color w:val="000000"/>
          <w:sz w:val="32"/>
          <w:szCs w:val="22"/>
          <w:lang w:val="en-US" w:eastAsia="zh-CN"/>
        </w:rPr>
        <w:t>国际友人来宁参访</w:t>
      </w:r>
      <w:r>
        <w:rPr>
          <w:rFonts w:hint="default" w:ascii="Times New Roman" w:hAnsi="Times New Roman" w:eastAsia="方正仿宋_GBK" w:cs="Times New Roman"/>
          <w:color w:val="000000"/>
          <w:sz w:val="32"/>
          <w:szCs w:val="22"/>
          <w:lang w:eastAsia="zh-CN"/>
        </w:rPr>
        <w:t>工作，</w:t>
      </w:r>
      <w:r>
        <w:rPr>
          <w:rFonts w:hint="eastAsia" w:ascii="Times New Roman" w:hAnsi="Times New Roman" w:eastAsia="方正仿宋_GBK" w:cs="Times New Roman"/>
          <w:b/>
          <w:bCs/>
          <w:color w:val="000000"/>
          <w:sz w:val="32"/>
          <w:szCs w:val="22"/>
          <w:lang w:val="en-US" w:eastAsia="zh-CN"/>
        </w:rPr>
        <w:t>五</w:t>
      </w:r>
      <w:r>
        <w:rPr>
          <w:rFonts w:hint="default" w:ascii="Times New Roman" w:hAnsi="Times New Roman" w:eastAsia="方正仿宋_GBK" w:cs="Times New Roman"/>
          <w:b/>
          <w:bCs/>
          <w:color w:val="000000"/>
          <w:sz w:val="32"/>
          <w:szCs w:val="22"/>
          <w:lang w:eastAsia="zh-CN"/>
        </w:rPr>
        <w:t>是</w:t>
      </w:r>
      <w:r>
        <w:rPr>
          <w:rFonts w:hint="default" w:ascii="Times New Roman" w:hAnsi="Times New Roman" w:eastAsia="方正仿宋_GBK" w:cs="Times New Roman"/>
          <w:color w:val="000000"/>
          <w:sz w:val="32"/>
          <w:szCs w:val="22"/>
          <w:lang w:eastAsia="zh-CN"/>
        </w:rPr>
        <w:t>举办友城结好系列活动。</w:t>
      </w:r>
    </w:p>
    <w:p w14:paraId="0F1EA91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2.突出特色亮点，办好主场活动。</w:t>
      </w:r>
      <w:r>
        <w:rPr>
          <w:rFonts w:hint="default" w:ascii="Times New Roman" w:hAnsi="Times New Roman" w:eastAsia="方正仿宋_GBK" w:cs="Times New Roman"/>
          <w:b/>
          <w:bCs/>
          <w:color w:val="000000"/>
          <w:sz w:val="32"/>
          <w:szCs w:val="22"/>
          <w:lang w:eastAsia="zh-CN"/>
        </w:rPr>
        <w:t>一是</w:t>
      </w:r>
      <w:r>
        <w:rPr>
          <w:rFonts w:hint="default" w:ascii="Times New Roman" w:hAnsi="Times New Roman" w:eastAsia="方正仿宋_GBK" w:cs="Times New Roman"/>
          <w:color w:val="000000"/>
          <w:sz w:val="32"/>
          <w:szCs w:val="22"/>
          <w:lang w:eastAsia="zh-CN"/>
        </w:rPr>
        <w:t>推进国际友谊公园和友城展览馆建设，</w:t>
      </w:r>
      <w:r>
        <w:rPr>
          <w:rFonts w:hint="default" w:ascii="Times New Roman" w:hAnsi="Times New Roman" w:eastAsia="方正仿宋_GBK" w:cs="Times New Roman"/>
          <w:b/>
          <w:bCs/>
          <w:color w:val="000000"/>
          <w:sz w:val="32"/>
          <w:szCs w:val="22"/>
          <w:lang w:eastAsia="zh-CN"/>
        </w:rPr>
        <w:t>二是</w:t>
      </w:r>
      <w:r>
        <w:rPr>
          <w:rFonts w:hint="eastAsia" w:ascii="Times New Roman" w:hAnsi="Times New Roman" w:eastAsia="方正仿宋_GBK" w:cs="Times New Roman"/>
          <w:color w:val="000000"/>
          <w:sz w:val="32"/>
          <w:szCs w:val="22"/>
          <w:lang w:val="en-US" w:eastAsia="zh-CN"/>
        </w:rPr>
        <w:t>办好南京主场外事活动</w:t>
      </w:r>
      <w:r>
        <w:rPr>
          <w:rFonts w:hint="default" w:ascii="Times New Roman" w:hAnsi="Times New Roman" w:eastAsia="方正仿宋_GBK" w:cs="Times New Roman"/>
          <w:color w:val="000000"/>
          <w:sz w:val="32"/>
          <w:szCs w:val="22"/>
          <w:lang w:eastAsia="zh-CN"/>
        </w:rPr>
        <w:t>，</w:t>
      </w:r>
      <w:r>
        <w:rPr>
          <w:rFonts w:hint="default" w:ascii="Times New Roman" w:hAnsi="Times New Roman" w:eastAsia="方正仿宋_GBK" w:cs="Times New Roman"/>
          <w:b/>
          <w:bCs/>
          <w:color w:val="000000"/>
          <w:sz w:val="32"/>
          <w:szCs w:val="22"/>
          <w:lang w:eastAsia="zh-CN"/>
        </w:rPr>
        <w:t>三是</w:t>
      </w:r>
      <w:r>
        <w:rPr>
          <w:rFonts w:hint="default" w:ascii="Times New Roman" w:hAnsi="Times New Roman" w:eastAsia="方正仿宋_GBK" w:cs="Times New Roman"/>
          <w:color w:val="000000"/>
          <w:sz w:val="32"/>
          <w:szCs w:val="22"/>
          <w:lang w:eastAsia="zh-CN"/>
        </w:rPr>
        <w:t>配合做好</w:t>
      </w:r>
      <w:r>
        <w:rPr>
          <w:rFonts w:hint="eastAsia" w:ascii="Times New Roman" w:hAnsi="Times New Roman" w:eastAsia="方正仿宋_GBK" w:cs="Times New Roman"/>
          <w:color w:val="000000"/>
          <w:sz w:val="32"/>
          <w:szCs w:val="22"/>
          <w:lang w:val="en-US" w:eastAsia="zh-CN"/>
        </w:rPr>
        <w:t>全市招商引资相关工作</w:t>
      </w:r>
      <w:r>
        <w:rPr>
          <w:rFonts w:hint="default" w:ascii="Times New Roman" w:hAnsi="Times New Roman" w:eastAsia="方正仿宋_GBK" w:cs="Times New Roman"/>
          <w:color w:val="000000"/>
          <w:sz w:val="32"/>
          <w:szCs w:val="22"/>
          <w:lang w:eastAsia="zh-CN"/>
        </w:rPr>
        <w:t>。</w:t>
      </w:r>
    </w:p>
    <w:p w14:paraId="0F222C2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22"/>
          <w:lang w:eastAsia="zh-CN"/>
        </w:rPr>
      </w:pPr>
      <w:r>
        <w:rPr>
          <w:rFonts w:hint="default" w:ascii="Times New Roman" w:hAnsi="Times New Roman" w:eastAsia="方正仿宋_GBK" w:cs="Times New Roman"/>
          <w:color w:val="000000"/>
          <w:sz w:val="32"/>
          <w:szCs w:val="22"/>
          <w:lang w:eastAsia="zh-CN"/>
        </w:rPr>
        <w:t>3.立足岗位职责，加强统筹指导。</w:t>
      </w:r>
      <w:r>
        <w:rPr>
          <w:rFonts w:hint="default" w:ascii="Times New Roman" w:hAnsi="Times New Roman" w:eastAsia="方正仿宋_GBK" w:cs="Times New Roman"/>
          <w:b/>
          <w:bCs/>
          <w:color w:val="000000"/>
          <w:sz w:val="32"/>
          <w:szCs w:val="22"/>
          <w:lang w:eastAsia="zh-CN"/>
        </w:rPr>
        <w:t>一是</w:t>
      </w:r>
      <w:r>
        <w:rPr>
          <w:rFonts w:hint="default" w:ascii="Times New Roman" w:hAnsi="Times New Roman" w:eastAsia="方正仿宋_GBK" w:cs="Times New Roman"/>
          <w:color w:val="000000"/>
          <w:sz w:val="32"/>
          <w:szCs w:val="22"/>
          <w:lang w:eastAsia="zh-CN"/>
        </w:rPr>
        <w:t>积极发挥市委外办职能作用，</w:t>
      </w:r>
      <w:r>
        <w:rPr>
          <w:rFonts w:hint="default" w:ascii="Times New Roman" w:hAnsi="Times New Roman" w:eastAsia="方正仿宋_GBK" w:cs="Times New Roman"/>
          <w:b/>
          <w:bCs/>
          <w:color w:val="000000"/>
          <w:sz w:val="32"/>
          <w:szCs w:val="22"/>
          <w:lang w:eastAsia="zh-CN"/>
        </w:rPr>
        <w:t>二是</w:t>
      </w:r>
      <w:r>
        <w:rPr>
          <w:rFonts w:hint="default" w:ascii="Times New Roman" w:hAnsi="Times New Roman" w:eastAsia="方正仿宋_GBK" w:cs="Times New Roman"/>
          <w:color w:val="000000"/>
          <w:sz w:val="32"/>
          <w:szCs w:val="22"/>
          <w:lang w:eastAsia="zh-CN"/>
        </w:rPr>
        <w:t>支持各区开展友好合作城市交往，</w:t>
      </w:r>
      <w:r>
        <w:rPr>
          <w:rFonts w:hint="default" w:ascii="Times New Roman" w:hAnsi="Times New Roman" w:eastAsia="方正仿宋_GBK" w:cs="Times New Roman"/>
          <w:b/>
          <w:bCs/>
          <w:color w:val="000000"/>
          <w:sz w:val="32"/>
          <w:szCs w:val="22"/>
          <w:lang w:eastAsia="zh-CN"/>
        </w:rPr>
        <w:t>三是</w:t>
      </w:r>
      <w:r>
        <w:rPr>
          <w:rFonts w:hint="default" w:ascii="Times New Roman" w:hAnsi="Times New Roman" w:eastAsia="方正仿宋_GBK" w:cs="Times New Roman"/>
          <w:color w:val="000000"/>
          <w:sz w:val="32"/>
          <w:szCs w:val="22"/>
          <w:lang w:eastAsia="zh-CN"/>
        </w:rPr>
        <w:t>加强外办内部建设。</w:t>
      </w:r>
    </w:p>
    <w:p w14:paraId="12414073">
      <w:pPr>
        <w:widowControl/>
        <w:spacing w:line="579" w:lineRule="exact"/>
        <w:ind w:firstLine="640" w:firstLineChars="200"/>
        <w:rPr>
          <w:rFonts w:ascii="方正黑体_GBK" w:hAnsi="Times New Roman" w:eastAsia="方正黑体_GBK" w:cs="Times New Roman"/>
          <w:color w:val="333333"/>
          <w:kern w:val="0"/>
          <w:sz w:val="32"/>
          <w:szCs w:val="32"/>
        </w:rPr>
      </w:pPr>
      <w:r>
        <w:rPr>
          <w:rFonts w:hint="eastAsia" w:ascii="方正黑体_GBK" w:hAnsi="Times New Roman" w:eastAsia="方正黑体_GBK" w:cs="Times New Roman"/>
          <w:color w:val="333333"/>
          <w:kern w:val="0"/>
          <w:sz w:val="32"/>
          <w:szCs w:val="32"/>
        </w:rPr>
        <w:t>二、评价结论</w:t>
      </w:r>
    </w:p>
    <w:p w14:paraId="4AD4074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000000"/>
          <w:sz w:val="32"/>
          <w:szCs w:val="22"/>
          <w:lang w:eastAsia="zh-CN"/>
        </w:rPr>
        <w:t>我办各处室根据202</w:t>
      </w:r>
      <w:r>
        <w:rPr>
          <w:rFonts w:hint="eastAsia" w:ascii="Times New Roman" w:hAnsi="Times New Roman" w:eastAsia="方正仿宋_GBK" w:cs="Times New Roman"/>
          <w:color w:val="000000"/>
          <w:sz w:val="32"/>
          <w:szCs w:val="22"/>
          <w:lang w:val="en-US" w:eastAsia="zh-CN"/>
        </w:rPr>
        <w:t>5</w:t>
      </w:r>
      <w:r>
        <w:rPr>
          <w:rFonts w:hint="default" w:ascii="Times New Roman" w:hAnsi="Times New Roman" w:eastAsia="方正仿宋_GBK" w:cs="Times New Roman"/>
          <w:color w:val="000000"/>
          <w:sz w:val="32"/>
          <w:szCs w:val="22"/>
          <w:lang w:eastAsia="zh-CN"/>
        </w:rPr>
        <w:t>年工作计划，认真履行职责，较好地完成了年初确定的各项工作任务。根据《部门整体绩效评价指标》评分，全年绩效评价总评分为</w:t>
      </w:r>
      <w:r>
        <w:rPr>
          <w:rFonts w:hint="eastAsia" w:ascii="Times New Roman" w:hAnsi="Times New Roman" w:eastAsia="方正仿宋_GBK" w:cs="Times New Roman"/>
          <w:color w:val="000000"/>
          <w:sz w:val="32"/>
          <w:szCs w:val="22"/>
          <w:lang w:val="en-US" w:eastAsia="zh-CN"/>
        </w:rPr>
        <w:t>97.5</w:t>
      </w:r>
      <w:r>
        <w:rPr>
          <w:rFonts w:hint="default" w:ascii="Times New Roman" w:hAnsi="Times New Roman" w:eastAsia="方正仿宋_GBK" w:cs="Times New Roman"/>
          <w:color w:val="000000"/>
          <w:sz w:val="32"/>
          <w:szCs w:val="22"/>
          <w:lang w:eastAsia="zh-CN"/>
        </w:rPr>
        <w:t xml:space="preserve">分（详见附表），单位整体支出绩效为“优”。  </w:t>
      </w:r>
    </w:p>
    <w:p w14:paraId="2A03F5E6">
      <w:pPr>
        <w:widowControl/>
        <w:spacing w:line="579" w:lineRule="exact"/>
        <w:ind w:firstLine="640" w:firstLineChars="200"/>
        <w:rPr>
          <w:rFonts w:ascii="方正黑体_GBK" w:hAnsi="Times New Roman" w:eastAsia="方正黑体_GBK" w:cs="Times New Roman"/>
          <w:color w:val="333333"/>
          <w:kern w:val="0"/>
          <w:sz w:val="32"/>
          <w:szCs w:val="32"/>
        </w:rPr>
      </w:pPr>
      <w:r>
        <w:rPr>
          <w:rFonts w:ascii="方正黑体_GBK" w:hAnsi="Times New Roman" w:eastAsia="方正黑体_GBK" w:cs="Times New Roman"/>
          <w:color w:val="333333"/>
          <w:kern w:val="0"/>
          <w:sz w:val="32"/>
          <w:szCs w:val="32"/>
        </w:rPr>
        <w:t>三、部门履职成效</w:t>
      </w:r>
    </w:p>
    <w:p w14:paraId="21D4C7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default" w:ascii="Times New Roman" w:hAnsi="Times New Roman" w:eastAsia="方正仿宋_GBK" w:cs="Times New Roman"/>
          <w:b w:val="0"/>
          <w:bCs w:val="0"/>
          <w:color w:val="000000"/>
          <w:sz w:val="32"/>
          <w:szCs w:val="32"/>
          <w:lang w:eastAsia="zh-CN"/>
        </w:rPr>
        <w:t>2025年是“十四五”规划的收官之年，也是“十五五”规划谋篇布局之年。我办坚持以习近平新时代中国特色社会主义思想为指引，深入学习贯彻党的二十大和二十届历次全会精神以及中央外事工作会议、中央周边工作会议、全国地方外事工作会议精神，按照市委市政府部署要求，提高站位践使命，聚焦中心谋发展，多措并举促开放，惠企便民优服务，守牢底线保安全，较好完成年初确定的各项任务，为服务国家总体外交和全市经济社会发展作出积极贡献。</w:t>
      </w:r>
    </w:p>
    <w:p w14:paraId="139A3B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楷体_GB2312" w:cs="Times New Roman"/>
          <w:color w:val="000000"/>
          <w:spacing w:val="0"/>
          <w:sz w:val="32"/>
          <w:szCs w:val="32"/>
          <w:lang w:eastAsia="zh-CN"/>
        </w:rPr>
        <w:t>（一）服务党和国家对外工作大局</w:t>
      </w:r>
      <w:r>
        <w:rPr>
          <w:rFonts w:hint="default" w:ascii="Times New Roman" w:hAnsi="Times New Roman" w:eastAsia="楷体_GB2312" w:cs="Times New Roman"/>
          <w:color w:val="000000"/>
          <w:spacing w:val="0"/>
          <w:sz w:val="32"/>
          <w:szCs w:val="32"/>
        </w:rPr>
        <w:t>。</w:t>
      </w:r>
      <w:r>
        <w:rPr>
          <w:rFonts w:hint="default" w:ascii="Times New Roman" w:hAnsi="Times New Roman" w:eastAsia="方正仿宋_GBK" w:cs="Times New Roman"/>
          <w:b/>
          <w:bCs/>
          <w:color w:val="000000"/>
          <w:spacing w:val="0"/>
          <w:sz w:val="32"/>
          <w:szCs w:val="32"/>
          <w:lang w:eastAsia="zh-CN"/>
        </w:rPr>
        <w:t>推进元首见签友城工作。</w:t>
      </w:r>
      <w:bookmarkStart w:id="0" w:name="OLE_LINK5"/>
      <w:r>
        <w:rPr>
          <w:rFonts w:hint="default" w:ascii="Times New Roman" w:hAnsi="Times New Roman" w:eastAsia="方正仿宋_GBK" w:cs="Times New Roman"/>
          <w:b w:val="0"/>
          <w:bCs w:val="0"/>
          <w:color w:val="000000"/>
          <w:sz w:val="32"/>
          <w:szCs w:val="32"/>
          <w:lang w:val="en-US" w:eastAsia="zh-CN"/>
        </w:rPr>
        <w:t>积极主动向外交部争取，成功将南京与文莱友城工作纳入元首外交议程，2025年2月，南京与文莱首都斯里巴加湾市第二次在习近平总书记见证下签署延长友好城市关系协议书</w:t>
      </w:r>
      <w:bookmarkEnd w:id="0"/>
      <w:r>
        <w:rPr>
          <w:rFonts w:hint="default" w:ascii="Times New Roman" w:hAnsi="Times New Roman" w:eastAsia="方正仿宋_GBK" w:cs="Times New Roman"/>
          <w:b w:val="0"/>
          <w:bCs w:val="0"/>
          <w:color w:val="000000"/>
          <w:sz w:val="32"/>
          <w:szCs w:val="32"/>
          <w:u w:val="none"/>
          <w:lang w:val="en-US" w:eastAsia="zh-CN"/>
        </w:rPr>
        <w:t>。</w:t>
      </w:r>
      <w:r>
        <w:rPr>
          <w:rFonts w:hint="default" w:ascii="Times New Roman" w:hAnsi="Times New Roman" w:eastAsia="方正仿宋_GBK" w:cs="Times New Roman"/>
          <w:b w:val="0"/>
          <w:bCs w:val="0"/>
          <w:color w:val="000000"/>
          <w:sz w:val="32"/>
          <w:szCs w:val="32"/>
          <w:lang w:val="en-US" w:eastAsia="zh-CN"/>
        </w:rPr>
        <w:t>支持举办</w:t>
      </w:r>
      <w:r>
        <w:rPr>
          <w:rFonts w:hint="default" w:ascii="Times New Roman" w:hAnsi="Times New Roman" w:eastAsia="方正仿宋_GBK" w:cs="Times New Roman"/>
          <w:b w:val="0"/>
          <w:bCs w:val="0"/>
          <w:color w:val="000000"/>
          <w:sz w:val="32"/>
          <w:szCs w:val="32"/>
          <w:u w:val="none"/>
          <w:lang w:val="en-US" w:eastAsia="zh-CN"/>
        </w:rPr>
        <w:t>第三届中国—文莱文化艺术节，接待文莱内政部部长、文莱驻华大使、加德满都市政府代表团等来宁访问，</w:t>
      </w:r>
      <w:r>
        <w:rPr>
          <w:rFonts w:hint="default" w:ascii="Times New Roman" w:hAnsi="Times New Roman" w:eastAsia="方正仿宋_GBK" w:cs="Times New Roman"/>
          <w:b w:val="0"/>
          <w:bCs w:val="0"/>
          <w:color w:val="000000"/>
          <w:sz w:val="32"/>
          <w:szCs w:val="32"/>
          <w:lang w:val="en-US" w:eastAsia="zh-CN"/>
        </w:rPr>
        <w:t>推动与见签友城各领域交流合作。</w:t>
      </w:r>
      <w:r>
        <w:rPr>
          <w:rFonts w:hint="default" w:ascii="Times New Roman" w:hAnsi="Times New Roman" w:eastAsia="方正仿宋_GBK" w:cs="Times New Roman"/>
          <w:b/>
          <w:bCs/>
          <w:color w:val="000000"/>
          <w:sz w:val="32"/>
          <w:szCs w:val="32"/>
          <w:u w:val="none"/>
          <w:lang w:val="en-US" w:eastAsia="zh-CN"/>
        </w:rPr>
        <w:t>积极</w:t>
      </w:r>
      <w:r>
        <w:rPr>
          <w:rFonts w:hint="eastAsia" w:ascii="Times New Roman" w:hAnsi="Times New Roman" w:eastAsia="方正仿宋_GBK" w:cs="Times New Roman"/>
          <w:b/>
          <w:bCs/>
          <w:color w:val="000000"/>
          <w:sz w:val="32"/>
          <w:szCs w:val="32"/>
          <w:u w:val="none"/>
          <w:lang w:val="en-US" w:eastAsia="zh-CN"/>
        </w:rPr>
        <w:t>服务</w:t>
      </w:r>
      <w:r>
        <w:rPr>
          <w:rFonts w:hint="default" w:ascii="Times New Roman" w:hAnsi="Times New Roman" w:eastAsia="方正仿宋_GBK" w:cs="Times New Roman"/>
          <w:b/>
          <w:bCs/>
          <w:color w:val="000000"/>
          <w:sz w:val="32"/>
          <w:szCs w:val="32"/>
          <w:u w:val="none"/>
          <w:lang w:val="en-US" w:eastAsia="zh-CN"/>
        </w:rPr>
        <w:t>中美关系大局。</w:t>
      </w:r>
      <w:r>
        <w:rPr>
          <w:rFonts w:hint="default" w:ascii="Times New Roman" w:hAnsi="Times New Roman" w:eastAsia="方正仿宋_GBK" w:cs="Times New Roman"/>
          <w:color w:val="000000"/>
          <w:sz w:val="32"/>
          <w:szCs w:val="32"/>
          <w:lang w:val="en-US" w:eastAsia="zh-CN"/>
        </w:rPr>
        <w:t>发挥中美首对友城示范作用，</w:t>
      </w:r>
      <w:r>
        <w:rPr>
          <w:rFonts w:hint="default" w:ascii="Times New Roman" w:hAnsi="Times New Roman" w:eastAsia="方正仿宋_GBK" w:cs="Times New Roman"/>
          <w:b w:val="0"/>
          <w:bCs w:val="0"/>
          <w:color w:val="000000"/>
          <w:sz w:val="32"/>
          <w:szCs w:val="32"/>
          <w:lang w:val="en-US" w:eastAsia="zh-CN"/>
        </w:rPr>
        <w:t>举办南京与圣路易斯结好46周年庆祝活动；</w:t>
      </w:r>
      <w:r>
        <w:rPr>
          <w:rFonts w:hint="default" w:ascii="Times New Roman" w:hAnsi="Times New Roman" w:eastAsia="方正仿宋_GBK" w:cs="Times New Roman"/>
          <w:color w:val="000000"/>
          <w:sz w:val="32"/>
          <w:szCs w:val="32"/>
          <w:lang w:val="en-US" w:eastAsia="zh-CN"/>
        </w:rPr>
        <w:t>挖掘和用好飞虎队资源</w:t>
      </w:r>
      <w:r>
        <w:rPr>
          <w:rFonts w:hint="default" w:ascii="Times New Roman" w:hAnsi="Times New Roman" w:eastAsia="方正仿宋_GBK" w:cs="Times New Roman"/>
          <w:b w:val="0"/>
          <w:bCs w:val="0"/>
          <w:color w:val="000000"/>
          <w:sz w:val="32"/>
          <w:szCs w:val="32"/>
          <w:lang w:val="en-US" w:eastAsia="zh-CN"/>
        </w:rPr>
        <w:t>，接待飞虎队创始人陈纳德将军外孙女嘉兰惠女士、美国“鼓岭之友”召集人穆言灵女士访宁，协助完成76位美国籍抗日航空英烈信息勘误和增补工作；落实“5年5万”倡议，联动驻宁院校邀请600余名美国师生来宁研学交流。</w:t>
      </w:r>
      <w:r>
        <w:rPr>
          <w:rFonts w:hint="default" w:ascii="Times New Roman" w:hAnsi="Times New Roman" w:eastAsia="方正仿宋_GBK" w:cs="Times New Roman"/>
          <w:b/>
          <w:bCs/>
          <w:color w:val="000000"/>
          <w:spacing w:val="0"/>
          <w:sz w:val="32"/>
          <w:szCs w:val="32"/>
          <w:lang w:eastAsia="zh-CN"/>
        </w:rPr>
        <w:t>配合服务重大主题和任务。</w:t>
      </w:r>
      <w:r>
        <w:rPr>
          <w:rFonts w:hint="default" w:ascii="Times New Roman" w:hAnsi="Times New Roman" w:eastAsia="方正仿宋_GBK" w:cs="Times New Roman"/>
          <w:b w:val="0"/>
          <w:bCs w:val="0"/>
          <w:color w:val="000000"/>
          <w:sz w:val="32"/>
          <w:szCs w:val="32"/>
          <w:lang w:val="en-US" w:eastAsia="zh-CN"/>
        </w:rPr>
        <w:t>落实第二届中国—中亚峰会共识成果，推动中国—中亚贸易畅通合作平台正式挂牌。聚焦中亚、阿盟、东盟等重点方向，积极申办主场外交活动。</w:t>
      </w:r>
    </w:p>
    <w:p w14:paraId="495F2E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（二）坚持和加强党的集中统一领导。</w:t>
      </w:r>
      <w:r>
        <w:rPr>
          <w:rFonts w:hint="default" w:ascii="Times New Roman" w:hAnsi="Times New Roman" w:eastAsia="方正仿宋_GBK" w:cs="Times New Roman"/>
          <w:b/>
          <w:bCs/>
          <w:color w:val="000000"/>
          <w:sz w:val="32"/>
          <w:szCs w:val="32"/>
          <w:lang w:val="en-US" w:eastAsia="zh-CN"/>
        </w:rPr>
        <w:t>强化统筹协调。</w:t>
      </w:r>
      <w:r>
        <w:rPr>
          <w:rFonts w:hint="default" w:ascii="Times New Roman" w:hAnsi="Times New Roman" w:eastAsia="方正仿宋_GBK" w:cs="Times New Roman"/>
          <w:sz w:val="32"/>
          <w:szCs w:val="32"/>
          <w:lang w:eastAsia="zh-CN"/>
        </w:rPr>
        <w:t>召开市委外事工作委员会（市委港澳工作领导小组）会议，及时传达</w:t>
      </w:r>
      <w:r>
        <w:rPr>
          <w:rFonts w:hint="default" w:ascii="Times New Roman" w:hAnsi="Times New Roman" w:eastAsia="方正仿宋_GBK" w:cs="Times New Roman"/>
          <w:b w:val="0"/>
          <w:bCs w:val="0"/>
          <w:color w:val="000000"/>
          <w:sz w:val="32"/>
          <w:szCs w:val="32"/>
          <w:lang w:val="en-US" w:eastAsia="zh-CN"/>
        </w:rPr>
        <w:t>学习中央周边工作会议、省委外事工作委员会会议和省委港澳工作领导小组会议精神，研究部署全市外事港澳领域重要事项和重点工作，</w:t>
      </w:r>
      <w:r>
        <w:rPr>
          <w:rFonts w:hint="default" w:ascii="Times New Roman" w:hAnsi="Times New Roman" w:eastAsia="方正仿宋_GBK" w:cs="Times New Roman"/>
          <w:sz w:val="32"/>
          <w:szCs w:val="32"/>
          <w:lang w:eastAsia="zh-CN"/>
        </w:rPr>
        <w:t>印发实施2025年工作要点，召开市委外事委成员单位专题座谈会、全市外办主任会议和外事工作培训会，推进各区、各部门有效协同、形成合力，提升外事系统履职能力，构建完善“一盘棋”工作格局。</w:t>
      </w:r>
      <w:r>
        <w:rPr>
          <w:rFonts w:hint="default" w:ascii="Times New Roman" w:hAnsi="Times New Roman" w:eastAsia="方正仿宋_GBK" w:cs="Times New Roman"/>
          <w:b/>
          <w:bCs/>
          <w:color w:val="000000"/>
          <w:sz w:val="32"/>
          <w:szCs w:val="32"/>
          <w:lang w:val="en-US" w:eastAsia="zh-CN"/>
        </w:rPr>
        <w:t>严格制度落实。</w:t>
      </w:r>
      <w:r>
        <w:rPr>
          <w:rFonts w:hint="default" w:ascii="Times New Roman" w:hAnsi="Times New Roman" w:eastAsia="方正仿宋_GBK" w:cs="Times New Roman"/>
          <w:b w:val="0"/>
          <w:bCs w:val="0"/>
          <w:color w:val="000000"/>
          <w:sz w:val="32"/>
          <w:szCs w:val="32"/>
          <w:lang w:val="en-US" w:eastAsia="zh-CN"/>
        </w:rPr>
        <w:t>坚持外交大权在党中央，认真贯彻落实《中国共产党领导外事工作条例》、《地方外事工作规定》以及市委外事工作委员会《工作规则》和市委外事工作委员会办公室《工作细则》，严格在授权范围内开展工作，从严</w:t>
      </w:r>
      <w:r>
        <w:rPr>
          <w:rFonts w:hint="default" w:ascii="Times New Roman" w:hAnsi="Times New Roman" w:eastAsia="方正仿宋_GBK" w:cs="Times New Roman"/>
          <w:i w:val="0"/>
          <w:caps w:val="0"/>
          <w:color w:val="auto"/>
          <w:spacing w:val="0"/>
          <w:sz w:val="32"/>
          <w:szCs w:val="32"/>
          <w:shd w:val="clear" w:color="auto" w:fill="FFFFFF"/>
          <w:lang w:eastAsia="zh-CN"/>
        </w:rPr>
        <w:t>落实</w:t>
      </w:r>
      <w:r>
        <w:rPr>
          <w:rFonts w:hint="default" w:ascii="Times New Roman" w:hAnsi="Times New Roman" w:eastAsia="方正仿宋_GBK" w:cs="Times New Roman"/>
          <w:i w:val="0"/>
          <w:caps w:val="0"/>
          <w:color w:val="000000" w:themeColor="text1"/>
          <w:spacing w:val="0"/>
          <w:sz w:val="32"/>
          <w:szCs w:val="32"/>
          <w:shd w:val="clear" w:color="auto" w:fill="FFFFFF"/>
          <w:lang w:eastAsia="zh-CN"/>
        </w:rPr>
        <w:t>重要涉外事项预报和请示报告制度</w:t>
      </w:r>
      <w:r>
        <w:rPr>
          <w:rFonts w:hint="default" w:ascii="Times New Roman" w:hAnsi="Times New Roman" w:eastAsia="方正仿宋_GBK" w:cs="Times New Roman"/>
          <w:i w:val="0"/>
          <w:caps w:val="0"/>
          <w:color w:val="auto"/>
          <w:spacing w:val="0"/>
          <w:sz w:val="32"/>
          <w:szCs w:val="32"/>
          <w:shd w:val="clear" w:color="auto" w:fill="FFFFFF"/>
          <w:lang w:eastAsia="zh-CN"/>
        </w:rPr>
        <w:t>。</w:t>
      </w:r>
    </w:p>
    <w:p w14:paraId="2786C9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（三）助推全市高质量发展。</w:t>
      </w:r>
      <w:r>
        <w:rPr>
          <w:rFonts w:hint="default" w:ascii="Times New Roman" w:hAnsi="Times New Roman" w:eastAsia="方正仿宋_GBK" w:cs="Times New Roman"/>
          <w:b/>
          <w:bCs/>
          <w:color w:val="000000"/>
          <w:sz w:val="32"/>
          <w:szCs w:val="32"/>
          <w:lang w:val="en-US" w:eastAsia="zh-CN"/>
        </w:rPr>
        <w:t>拓宽经贸合作渠道。</w:t>
      </w:r>
      <w:r>
        <w:rPr>
          <w:rFonts w:hint="default" w:ascii="Times New Roman" w:hAnsi="Times New Roman" w:eastAsia="方正仿宋_GBK" w:cs="Times New Roman"/>
          <w:b w:val="0"/>
          <w:bCs w:val="0"/>
          <w:color w:val="000000"/>
          <w:sz w:val="32"/>
          <w:szCs w:val="32"/>
          <w:u w:val="none"/>
          <w:lang w:val="en-US" w:eastAsia="zh-CN"/>
        </w:rPr>
        <w:t>圆满完成</w:t>
      </w:r>
      <w:r>
        <w:rPr>
          <w:rFonts w:hint="default" w:ascii="Times New Roman" w:hAnsi="Times New Roman" w:eastAsia="方正仿宋_GBK" w:cs="Times New Roman"/>
          <w:b w:val="0"/>
          <w:bCs w:val="0"/>
          <w:color w:val="000000"/>
          <w:sz w:val="32"/>
          <w:szCs w:val="32"/>
          <w:lang w:val="en-US" w:eastAsia="zh-CN"/>
        </w:rPr>
        <w:t>产业科技创新与投资促进大会、金洽会、进博会南京专场等重大活动外宾邀请参访等任务，接待外国政府官员、跨国公司高管等重要团组。</w:t>
      </w:r>
      <w:r>
        <w:rPr>
          <w:rFonts w:hint="default" w:ascii="Times New Roman" w:hAnsi="Times New Roman" w:eastAsia="方正仿宋_GBK" w:cs="Times New Roman"/>
          <w:b/>
          <w:bCs/>
          <w:color w:val="000000"/>
          <w:sz w:val="32"/>
          <w:szCs w:val="32"/>
          <w:u w:val="none"/>
          <w:lang w:val="en-US" w:eastAsia="zh-CN"/>
        </w:rPr>
        <w:t>搭建高能级合作平台。</w:t>
      </w:r>
      <w:r>
        <w:rPr>
          <w:rFonts w:hint="default" w:ascii="Times New Roman" w:hAnsi="Times New Roman" w:eastAsia="方正仿宋_GBK" w:cs="Times New Roman"/>
          <w:b w:val="0"/>
          <w:bCs w:val="0"/>
          <w:color w:val="000000"/>
          <w:sz w:val="32"/>
          <w:szCs w:val="32"/>
          <w:lang w:val="en-US" w:eastAsia="zh-CN"/>
        </w:rPr>
        <w:t>策划举办2025 Innovation Fair欧洲企业南京行暨产业合作对接会系列活动，来自14个国家、5个城市代表以及120余家欧洲政府机构、企业、商协会及国际组织参会，10余家外国公司通过本次活动开启在华业务。举办友城企业走进南</w:t>
      </w:r>
      <w:r>
        <w:rPr>
          <w:rFonts w:hint="default" w:ascii="Times New Roman" w:hAnsi="Times New Roman" w:eastAsia="方正仿宋_GBK" w:cs="Times New Roman"/>
          <w:color w:val="000000"/>
          <w:sz w:val="32"/>
          <w:szCs w:val="32"/>
          <w:lang w:val="en-US" w:eastAsia="zh-CN"/>
        </w:rPr>
        <w:t>京之跨国企业政企圆桌对话会</w:t>
      </w:r>
      <w:r>
        <w:rPr>
          <w:rFonts w:hint="default" w:ascii="Times New Roman" w:hAnsi="Times New Roman" w:eastAsia="方正仿宋_GBK" w:cs="Times New Roman"/>
          <w:b w:val="0"/>
          <w:bCs w:val="0"/>
          <w:color w:val="000000"/>
          <w:sz w:val="32"/>
          <w:szCs w:val="32"/>
          <w:u w:val="none"/>
          <w:lang w:val="en-US" w:eastAsia="zh-CN"/>
        </w:rPr>
        <w:t>，</w:t>
      </w:r>
      <w:r>
        <w:rPr>
          <w:rFonts w:hint="default" w:ascii="Times New Roman" w:hAnsi="Times New Roman" w:eastAsia="方正仿宋_GBK" w:cs="Times New Roman"/>
          <w:color w:val="000000"/>
          <w:sz w:val="32"/>
          <w:szCs w:val="32"/>
          <w:lang w:val="en-US" w:eastAsia="zh-CN"/>
        </w:rPr>
        <w:t>协办“</w:t>
      </w:r>
      <w:r>
        <w:rPr>
          <w:rFonts w:hint="default" w:ascii="Times New Roman" w:hAnsi="Times New Roman" w:eastAsia="方正仿宋_GBK" w:cs="Times New Roman"/>
          <w:b w:val="0"/>
          <w:bCs w:val="0"/>
          <w:color w:val="000000"/>
          <w:sz w:val="32"/>
          <w:szCs w:val="32"/>
          <w:lang w:val="en-US" w:eastAsia="zh-CN"/>
        </w:rPr>
        <w:t>阿联酋机构南京行”、“中法企业走进南京”</w:t>
      </w:r>
      <w:r>
        <w:rPr>
          <w:rFonts w:hint="default" w:ascii="Times New Roman" w:hAnsi="Times New Roman" w:eastAsia="方正仿宋_GBK" w:cs="Times New Roman"/>
          <w:color w:val="000000"/>
          <w:sz w:val="32"/>
          <w:szCs w:val="32"/>
          <w:lang w:val="en-US" w:eastAsia="zh-CN"/>
        </w:rPr>
        <w:t>、Nexus 2025创业大赛活动等，推动落成“南京—墨尔本城市卓越中心”“南京（墨尔本）科技合作创新园”等合作载体</w:t>
      </w:r>
      <w:r>
        <w:rPr>
          <w:rFonts w:hint="default" w:ascii="Times New Roman" w:hAnsi="Times New Roman" w:eastAsia="方正仿宋_GBK" w:cs="Times New Roman"/>
          <w:b w:val="0"/>
          <w:bCs w:val="0"/>
          <w:color w:val="000000"/>
          <w:sz w:val="32"/>
          <w:szCs w:val="32"/>
          <w:lang w:val="en-US" w:eastAsia="zh-CN"/>
        </w:rPr>
        <w:t>。</w:t>
      </w:r>
      <w:r>
        <w:rPr>
          <w:rFonts w:hint="default" w:ascii="Times New Roman" w:hAnsi="Times New Roman" w:eastAsia="方正仿宋_GBK" w:cs="Times New Roman"/>
          <w:b/>
          <w:bCs/>
          <w:color w:val="000000"/>
          <w:sz w:val="32"/>
          <w:szCs w:val="32"/>
          <w:lang w:val="en-US" w:eastAsia="zh-CN"/>
        </w:rPr>
        <w:t>打造国际化营商环境。</w:t>
      </w:r>
      <w:r>
        <w:rPr>
          <w:rFonts w:hint="default" w:ascii="Times New Roman" w:hAnsi="Times New Roman" w:eastAsia="方正仿宋_GBK" w:cs="Times New Roman"/>
          <w:b w:val="0"/>
          <w:bCs w:val="0"/>
          <w:color w:val="000000"/>
          <w:sz w:val="32"/>
          <w:szCs w:val="32"/>
          <w:lang w:val="en-US" w:eastAsia="zh-CN"/>
        </w:rPr>
        <w:t>实施“</w:t>
      </w:r>
      <w:r>
        <w:rPr>
          <w:rFonts w:hint="default" w:ascii="Times New Roman" w:hAnsi="Times New Roman" w:eastAsia="方正仿宋_GBK" w:cs="Times New Roman"/>
          <w:color w:val="000000"/>
          <w:spacing w:val="0"/>
          <w:sz w:val="32"/>
          <w:szCs w:val="32"/>
          <w:lang w:val="en-US" w:eastAsia="zh-CN"/>
        </w:rPr>
        <w:t>APEC</w:t>
      </w:r>
      <w:r>
        <w:rPr>
          <w:rFonts w:hint="default" w:ascii="Times New Roman" w:hAnsi="Times New Roman" w:eastAsia="方正仿宋_GBK" w:cs="Times New Roman"/>
          <w:b w:val="0"/>
          <w:bCs w:val="0"/>
          <w:color w:val="000000"/>
          <w:sz w:val="32"/>
          <w:szCs w:val="32"/>
          <w:lang w:val="en-US" w:eastAsia="zh-CN"/>
        </w:rPr>
        <w:t>畅行”行动，做好小微企业办卡服务，推进南京智慧外事平台（因公通行证子系统）建设，</w:t>
      </w:r>
      <w:r>
        <w:rPr>
          <w:rFonts w:hint="default" w:ascii="Times New Roman" w:hAnsi="Times New Roman" w:eastAsia="方正仿宋_GBK" w:cs="Times New Roman"/>
          <w:sz w:val="32"/>
          <w:szCs w:val="32"/>
          <w:lang w:val="en-US" w:eastAsia="zh-CN"/>
        </w:rPr>
        <w:t>全力服务企业走出去</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优化市政府网站英文版，出版并推广</w:t>
      </w:r>
      <w:r>
        <w:rPr>
          <w:rFonts w:hint="default" w:ascii="Times New Roman" w:hAnsi="Times New Roman" w:eastAsia="方正仿宋_GBK" w:cs="Times New Roman"/>
          <w:color w:val="000000"/>
          <w:sz w:val="32"/>
          <w:szCs w:val="32"/>
          <w:lang w:val="en-US" w:eastAsia="zh-CN"/>
        </w:rPr>
        <w:t>《南京市公共服务领域英文译写指南》，实施“南京关键词”项目，</w:t>
      </w:r>
      <w:r>
        <w:rPr>
          <w:rFonts w:hint="default" w:ascii="Times New Roman" w:hAnsi="Times New Roman" w:eastAsia="方正仿宋_GBK" w:cs="Times New Roman"/>
          <w:b w:val="0"/>
          <w:bCs w:val="0"/>
          <w:color w:val="000000"/>
          <w:sz w:val="32"/>
          <w:szCs w:val="32"/>
          <w:lang w:val="en-US" w:eastAsia="zh-CN"/>
        </w:rPr>
        <w:t>外籍人士居住便利度进一步提升。</w:t>
      </w:r>
    </w:p>
    <w:p w14:paraId="69B5C5E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b w:val="0"/>
          <w:bCs w:val="0"/>
          <w:color w:val="000000"/>
          <w:sz w:val="32"/>
          <w:szCs w:val="32"/>
          <w:lang w:val="en-US" w:eastAsia="zh-CN"/>
        </w:rPr>
        <w:t>（四）拓展国际交往和对外传播渠道。</w:t>
      </w:r>
      <w:r>
        <w:rPr>
          <w:rFonts w:hint="default" w:ascii="Times New Roman" w:hAnsi="Times New Roman" w:eastAsia="方正仿宋_GBK" w:cs="Times New Roman"/>
          <w:b/>
          <w:bCs/>
          <w:color w:val="000000"/>
          <w:sz w:val="32"/>
          <w:szCs w:val="32"/>
          <w:lang w:val="en-US" w:eastAsia="zh-CN"/>
        </w:rPr>
        <w:t>织密友城合作网络。</w:t>
      </w:r>
      <w:r>
        <w:rPr>
          <w:rFonts w:hint="default" w:ascii="Times New Roman" w:hAnsi="Times New Roman" w:eastAsia="方正仿宋_GBK" w:cs="Times New Roman"/>
          <w:color w:val="000000"/>
          <w:sz w:val="32"/>
          <w:szCs w:val="32"/>
          <w:lang w:val="en-US" w:eastAsia="zh-CN"/>
        </w:rPr>
        <w:t>以中欧建交</w:t>
      </w:r>
      <w:r>
        <w:rPr>
          <w:rFonts w:hint="default" w:ascii="Times New Roman" w:hAnsi="Times New Roman" w:eastAsia="方正仿宋_GBK" w:cs="Times New Roman"/>
          <w:color w:val="000000"/>
          <w:spacing w:val="0"/>
          <w:kern w:val="2"/>
          <w:sz w:val="32"/>
          <w:szCs w:val="32"/>
          <w:lang w:val="en-US" w:eastAsia="zh-CN" w:bidi="ar-SA"/>
        </w:rPr>
        <w:t>50</w:t>
      </w:r>
      <w:r>
        <w:rPr>
          <w:rFonts w:hint="default" w:ascii="Times New Roman" w:hAnsi="Times New Roman" w:eastAsia="方正仿宋_GBK" w:cs="Times New Roman"/>
          <w:color w:val="000000"/>
          <w:sz w:val="32"/>
          <w:szCs w:val="32"/>
          <w:lang w:val="en-US" w:eastAsia="zh-CN"/>
        </w:rPr>
        <w:t>周年为契机，推动南京与西班牙</w:t>
      </w:r>
      <w:r>
        <w:rPr>
          <w:rFonts w:hint="default" w:ascii="Times New Roman" w:hAnsi="Times New Roman" w:eastAsia="方正仿宋_GBK" w:cs="Times New Roman"/>
          <w:color w:val="000000"/>
          <w:sz w:val="32"/>
          <w:szCs w:val="32"/>
          <w:lang w:eastAsia="zh-CN"/>
        </w:rPr>
        <w:t>萨拉戈萨签署友好协议</w:t>
      </w:r>
      <w:r>
        <w:rPr>
          <w:rFonts w:hint="default" w:ascii="Times New Roman" w:hAnsi="Times New Roman" w:eastAsia="方正仿宋_GBK" w:cs="Times New Roman"/>
          <w:color w:val="000000"/>
          <w:sz w:val="32"/>
          <w:szCs w:val="32"/>
          <w:lang w:val="en-US" w:eastAsia="zh-CN"/>
        </w:rPr>
        <w:t>，第八届进博会期间南京与德国斯图加特举办双城联展，成为首个且唯一在国家展中以城市为主题的双城交流合作展览。指导江宁</w:t>
      </w:r>
      <w:r>
        <w:rPr>
          <w:rFonts w:hint="default" w:ascii="Times New Roman" w:hAnsi="Times New Roman" w:eastAsia="方正仿宋_GBK" w:cs="Times New Roman"/>
          <w:color w:val="000000"/>
          <w:sz w:val="32"/>
          <w:szCs w:val="32"/>
          <w:lang w:eastAsia="zh-CN"/>
        </w:rPr>
        <w:t>区、雨花台区、秦淮区、玄武区分别与意大利拉斯佩齐亚市、德</w:t>
      </w:r>
      <w:r>
        <w:rPr>
          <w:rFonts w:hint="default" w:ascii="Times New Roman" w:hAnsi="Times New Roman" w:eastAsia="方正仿宋_GBK" w:cs="Times New Roman"/>
          <w:color w:val="000000"/>
          <w:sz w:val="32"/>
          <w:szCs w:val="32"/>
          <w:lang w:val="en-US" w:eastAsia="zh-CN"/>
        </w:rPr>
        <w:t>国</w:t>
      </w:r>
      <w:r>
        <w:rPr>
          <w:rFonts w:hint="default" w:ascii="Times New Roman" w:hAnsi="Times New Roman" w:eastAsia="方正仿宋_GBK" w:cs="Times New Roman"/>
          <w:color w:val="000000"/>
          <w:sz w:val="32"/>
          <w:szCs w:val="32"/>
          <w:lang w:eastAsia="zh-CN"/>
        </w:rPr>
        <w:t>迪特福特市、韩国仁川广域市</w:t>
      </w:r>
      <w:r>
        <w:rPr>
          <w:rFonts w:hint="default" w:ascii="Times New Roman" w:hAnsi="Times New Roman" w:eastAsia="方正仿宋_GBK" w:cs="Times New Roman"/>
          <w:color w:val="000000"/>
          <w:sz w:val="32"/>
          <w:szCs w:val="32"/>
          <w:lang w:val="en-US" w:eastAsia="zh-CN"/>
        </w:rPr>
        <w:t>延寿区、</w:t>
      </w:r>
      <w:r>
        <w:rPr>
          <w:rFonts w:hint="default" w:ascii="Times New Roman" w:hAnsi="Times New Roman" w:eastAsia="方正仿宋_GBK" w:cs="Times New Roman"/>
          <w:color w:val="000000"/>
          <w:sz w:val="32"/>
          <w:szCs w:val="32"/>
          <w:lang w:eastAsia="zh-CN"/>
        </w:rPr>
        <w:t>意大利首都罗马二区深化友城合作，</w:t>
      </w:r>
      <w:r>
        <w:rPr>
          <w:rFonts w:hint="default" w:ascii="Times New Roman" w:hAnsi="Times New Roman" w:eastAsia="方正仿宋_GBK" w:cs="Times New Roman"/>
          <w:color w:val="000000"/>
          <w:sz w:val="32"/>
          <w:szCs w:val="32"/>
          <w:lang w:val="en-US" w:eastAsia="zh-CN"/>
        </w:rPr>
        <w:t>目前</w:t>
      </w:r>
      <w:bookmarkStart w:id="1" w:name="OLE_LINK3"/>
      <w:r>
        <w:rPr>
          <w:rFonts w:hint="default" w:ascii="Times New Roman" w:hAnsi="Times New Roman" w:eastAsia="方正仿宋_GBK" w:cs="Times New Roman"/>
          <w:color w:val="000000"/>
          <w:sz w:val="32"/>
          <w:szCs w:val="32"/>
          <w:lang w:val="en-US" w:eastAsia="zh-CN"/>
        </w:rPr>
        <w:t>南京友城达到</w:t>
      </w:r>
      <w:r>
        <w:rPr>
          <w:rFonts w:hint="default" w:ascii="Times New Roman" w:hAnsi="Times New Roman" w:eastAsia="方正仿宋_GBK" w:cs="Times New Roman"/>
          <w:color w:val="000000"/>
          <w:spacing w:val="0"/>
          <w:kern w:val="2"/>
          <w:sz w:val="32"/>
          <w:szCs w:val="32"/>
          <w:lang w:val="en-US" w:eastAsia="zh-CN" w:bidi="ar-SA"/>
        </w:rPr>
        <w:t>110</w:t>
      </w:r>
      <w:r>
        <w:rPr>
          <w:rFonts w:hint="default" w:ascii="Times New Roman" w:hAnsi="Times New Roman" w:eastAsia="方正仿宋_GBK" w:cs="Times New Roman"/>
          <w:color w:val="000000"/>
          <w:sz w:val="32"/>
          <w:szCs w:val="32"/>
          <w:lang w:val="en-US" w:eastAsia="zh-CN"/>
        </w:rPr>
        <w:t>座</w:t>
      </w:r>
      <w:bookmarkEnd w:id="1"/>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b/>
          <w:bCs/>
          <w:color w:val="000000"/>
          <w:sz w:val="32"/>
          <w:szCs w:val="32"/>
          <w:lang w:val="en-US" w:eastAsia="zh-CN"/>
        </w:rPr>
        <w:t>参与国际多边合作。</w:t>
      </w:r>
      <w:r>
        <w:rPr>
          <w:rFonts w:hint="default" w:ascii="Times New Roman" w:hAnsi="Times New Roman" w:eastAsia="方正仿宋_GBK" w:cs="Times New Roman"/>
          <w:b w:val="0"/>
          <w:bCs w:val="0"/>
          <w:color w:val="000000"/>
          <w:sz w:val="32"/>
          <w:szCs w:val="32"/>
          <w:u w:val="none"/>
          <w:lang w:val="en-US" w:eastAsia="zh-CN"/>
        </w:rPr>
        <w:t>加强与联合国教科文组织、世界奥林匹克城市联盟、</w:t>
      </w:r>
      <w:r>
        <w:rPr>
          <w:rFonts w:hint="default" w:ascii="Times New Roman" w:hAnsi="Times New Roman" w:eastAsia="方正仿宋_GBK" w:cs="Times New Roman"/>
          <w:color w:val="000000"/>
          <w:spacing w:val="0"/>
          <w:kern w:val="2"/>
          <w:sz w:val="32"/>
          <w:szCs w:val="32"/>
          <w:lang w:val="en-US" w:eastAsia="zh-CN" w:bidi="ar-SA"/>
        </w:rPr>
        <w:t>C40</w:t>
      </w:r>
      <w:r>
        <w:rPr>
          <w:rFonts w:hint="default" w:ascii="Times New Roman" w:hAnsi="Times New Roman" w:eastAsia="方正仿宋_GBK" w:cs="Times New Roman"/>
          <w:b w:val="0"/>
          <w:bCs w:val="0"/>
          <w:color w:val="000000"/>
          <w:sz w:val="32"/>
          <w:szCs w:val="32"/>
          <w:u w:val="none"/>
          <w:lang w:val="en-US" w:eastAsia="zh-CN"/>
        </w:rPr>
        <w:t>城市气候领导联盟等国际组织对接，接待联合国粮农组织总干事一行来宁考察。促成并保障市领导出席第九届</w:t>
      </w:r>
      <w:r>
        <w:rPr>
          <w:rFonts w:hint="default" w:ascii="Times New Roman" w:hAnsi="Times New Roman" w:eastAsia="方正仿宋_GBK" w:cs="Times New Roman"/>
          <w:color w:val="000000"/>
          <w:spacing w:val="0"/>
          <w:kern w:val="2"/>
          <w:sz w:val="32"/>
          <w:szCs w:val="32"/>
          <w:lang w:val="en-US" w:eastAsia="zh-CN" w:bidi="ar-SA"/>
        </w:rPr>
        <w:t>C40</w:t>
      </w:r>
      <w:r>
        <w:rPr>
          <w:rFonts w:hint="default" w:ascii="Times New Roman" w:hAnsi="Times New Roman" w:eastAsia="方正仿宋_GBK" w:cs="Times New Roman"/>
          <w:b w:val="0"/>
          <w:bCs w:val="0"/>
          <w:color w:val="000000"/>
          <w:sz w:val="32"/>
          <w:szCs w:val="32"/>
          <w:u w:val="none"/>
          <w:lang w:val="en-US" w:eastAsia="zh-CN"/>
        </w:rPr>
        <w:t>全球市长峰会并作为东亚城市唯一代表作大会发言，参加2025年世界城地组织理事会会议暨联合国工发组织“城市之桥”十周年特别活动，为全球治理贡献南京智慧。</w:t>
      </w:r>
      <w:r>
        <w:rPr>
          <w:rFonts w:hint="default" w:ascii="Times New Roman" w:hAnsi="Times New Roman" w:eastAsia="方正仿宋_GBK" w:cs="Times New Roman"/>
          <w:b/>
          <w:bCs/>
          <w:color w:val="000000"/>
          <w:sz w:val="32"/>
          <w:szCs w:val="32"/>
          <w:lang w:val="en-US" w:eastAsia="zh-CN"/>
        </w:rPr>
        <w:t>完善民间外交格局。</w:t>
      </w:r>
      <w:r>
        <w:rPr>
          <w:rFonts w:hint="default" w:ascii="Times New Roman" w:hAnsi="Times New Roman" w:eastAsia="方正仿宋_GBK" w:cs="Times New Roman"/>
          <w:b w:val="0"/>
          <w:bCs w:val="0"/>
          <w:color w:val="000000"/>
          <w:sz w:val="32"/>
          <w:szCs w:val="32"/>
          <w:u w:val="none"/>
          <w:lang w:val="en-US" w:eastAsia="zh-CN"/>
        </w:rPr>
        <w:t>探索新时代民间外交城市实践，承办“</w:t>
      </w:r>
      <w:r>
        <w:rPr>
          <w:rFonts w:hint="default" w:ascii="Times New Roman" w:hAnsi="Times New Roman" w:eastAsia="方正仿宋_GBK" w:cs="Times New Roman"/>
          <w:color w:val="000000"/>
          <w:spacing w:val="0"/>
          <w:kern w:val="2"/>
          <w:sz w:val="32"/>
          <w:szCs w:val="32"/>
          <w:lang w:val="en-US" w:eastAsia="zh-CN" w:bidi="ar-SA"/>
        </w:rPr>
        <w:t>2025</w:t>
      </w:r>
      <w:r>
        <w:rPr>
          <w:rFonts w:hint="default" w:ascii="Times New Roman" w:hAnsi="Times New Roman" w:eastAsia="方正仿宋_GBK" w:cs="Times New Roman"/>
          <w:b w:val="0"/>
          <w:bCs w:val="0"/>
          <w:color w:val="000000"/>
          <w:sz w:val="32"/>
          <w:szCs w:val="32"/>
          <w:u w:val="none"/>
          <w:lang w:val="en-US" w:eastAsia="zh-CN"/>
        </w:rPr>
        <w:t>江苏—东盟南亚国家民间友好组织对话会”，接待加纳全国民主大会主席、加勒比多国执政党干部考察团、阿尔及利亚中国友协代表团、印度文艺界知名人士代表团等来宁访问，推进实施友城雕塑互赠等“小而美”项目。</w:t>
      </w:r>
      <w:r>
        <w:rPr>
          <w:rFonts w:hint="default" w:ascii="Times New Roman" w:hAnsi="Times New Roman" w:eastAsia="方正仿宋_GBK" w:cs="Times New Roman"/>
          <w:b/>
          <w:bCs/>
          <w:color w:val="000000"/>
          <w:sz w:val="32"/>
          <w:szCs w:val="32"/>
          <w:lang w:val="en-US" w:eastAsia="zh-CN"/>
        </w:rPr>
        <w:t>提升国际传播效能。</w:t>
      </w:r>
      <w:r>
        <w:rPr>
          <w:rFonts w:hint="default" w:ascii="Times New Roman" w:hAnsi="Times New Roman" w:eastAsia="方正仿宋_GBK" w:cs="Times New Roman"/>
          <w:b w:val="0"/>
          <w:bCs w:val="0"/>
          <w:color w:val="000000"/>
          <w:sz w:val="32"/>
          <w:szCs w:val="32"/>
          <w:lang w:val="en-US" w:eastAsia="zh-CN"/>
        </w:rPr>
        <w:t>借助第七次汉学家文学翻译国际研讨会、世界市长对话和长江文化南京论坛等活动平台，积极讲好中国故事南京篇章。举办外国留学生“坐地铁、逛南京、拍美景”系列活动，擦亮“秋到紫金山”对外文化交流暨外语志愿服务项目品牌，活动成效得到我驻外大使馆肯定。</w:t>
      </w:r>
    </w:p>
    <w:p w14:paraId="44B43B6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楷体_GBK" w:cs="Times New Roman"/>
          <w:b w:val="0"/>
          <w:bCs w:val="0"/>
          <w:color w:val="000000"/>
          <w:sz w:val="32"/>
          <w:szCs w:val="32"/>
          <w:lang w:val="en-US" w:eastAsia="zh-CN"/>
        </w:rPr>
        <w:t>（五）</w:t>
      </w:r>
      <w:r>
        <w:rPr>
          <w:rFonts w:hint="default" w:ascii="Times New Roman" w:hAnsi="Times New Roman" w:eastAsia="方正楷体_GBK" w:cs="Times New Roman"/>
          <w:b w:val="0"/>
          <w:color w:val="000000"/>
          <w:kern w:val="2"/>
          <w:sz w:val="32"/>
          <w:szCs w:val="32"/>
          <w:lang w:val="en-US" w:eastAsia="zh-CN" w:bidi="ar-SA"/>
        </w:rPr>
        <w:t>深化宁港澳交流合作。</w:t>
      </w:r>
      <w:r>
        <w:rPr>
          <w:rFonts w:hint="default" w:ascii="Times New Roman" w:hAnsi="Times New Roman" w:eastAsia="方正仿宋_GBK" w:cs="Times New Roman"/>
          <w:color w:val="000000"/>
          <w:sz w:val="32"/>
          <w:szCs w:val="22"/>
          <w:lang w:val="en-US" w:eastAsia="zh-CN"/>
        </w:rPr>
        <w:t>完成</w:t>
      </w:r>
      <w:r>
        <w:rPr>
          <w:rFonts w:hint="default" w:ascii="Times New Roman" w:hAnsi="Times New Roman" w:eastAsia="方正仿宋_GBK" w:cs="Times New Roman"/>
          <w:color w:val="000000"/>
          <w:sz w:val="32"/>
          <w:szCs w:val="22"/>
        </w:rPr>
        <w:t>我市经贸科创代表团及相关团组</w:t>
      </w:r>
      <w:r>
        <w:rPr>
          <w:rFonts w:hint="default" w:ascii="Times New Roman" w:hAnsi="Times New Roman" w:eastAsia="方正仿宋_GBK" w:cs="Times New Roman"/>
          <w:color w:val="000000"/>
          <w:sz w:val="32"/>
          <w:szCs w:val="22"/>
          <w:lang w:eastAsia="zh-CN"/>
        </w:rPr>
        <w:t>访港任务，签约总投资50亿元的玉湖冷链交易中心项目，举办南京（香港）科技创新环境推介交流会，推动创想未来人工智能与机器人教育项目等一批创新成果落地签约。深化</w:t>
      </w:r>
      <w:r>
        <w:rPr>
          <w:rFonts w:hint="default" w:ascii="Times New Roman" w:hAnsi="Times New Roman" w:eastAsia="方正仿宋_GBK" w:cs="Times New Roman"/>
          <w:color w:val="000000"/>
          <w:sz w:val="32"/>
          <w:szCs w:val="22"/>
        </w:rPr>
        <w:t>与粤港澳大湾区战略对接</w:t>
      </w:r>
      <w:r>
        <w:rPr>
          <w:rFonts w:hint="default" w:ascii="Times New Roman" w:hAnsi="Times New Roman" w:eastAsia="方正仿宋_GBK" w:cs="Times New Roman"/>
          <w:color w:val="000000"/>
          <w:sz w:val="32"/>
          <w:szCs w:val="22"/>
          <w:lang w:eastAsia="zh-CN"/>
        </w:rPr>
        <w:t>，推动香港理工大学南京技术创新研究院、</w:t>
      </w:r>
      <w:r>
        <w:rPr>
          <w:rFonts w:hint="default" w:ascii="Times New Roman" w:hAnsi="Times New Roman" w:eastAsia="方正仿宋_GBK" w:cs="Times New Roman"/>
          <w:color w:val="000000"/>
          <w:sz w:val="32"/>
          <w:szCs w:val="32"/>
          <w:lang w:val="en-US" w:eastAsia="zh-CN"/>
        </w:rPr>
        <w:t>南京澳科大科技研究院落地建设，参与</w:t>
      </w:r>
      <w:r>
        <w:rPr>
          <w:rFonts w:hint="default" w:ascii="Times New Roman" w:hAnsi="Times New Roman" w:eastAsia="方正仿宋_GBK" w:cs="Times New Roman"/>
          <w:color w:val="000000"/>
          <w:sz w:val="32"/>
          <w:szCs w:val="22"/>
          <w:lang w:val="en-US" w:eastAsia="zh-CN"/>
        </w:rPr>
        <w:t>举办</w:t>
      </w:r>
      <w:r>
        <w:rPr>
          <w:rFonts w:hint="default" w:ascii="Times New Roman" w:hAnsi="Times New Roman" w:eastAsia="方正仿宋_GBK" w:cs="Times New Roman"/>
          <w:color w:val="000000"/>
          <w:sz w:val="32"/>
          <w:szCs w:val="22"/>
          <w:lang w:eastAsia="zh-CN"/>
        </w:rPr>
        <w:t>江苏省港澳投资企业法律服务月暨南京港澳仲裁院成立十周年活动</w:t>
      </w:r>
      <w:r>
        <w:rPr>
          <w:rFonts w:hint="default" w:ascii="Times New Roman" w:hAnsi="Times New Roman" w:eastAsia="方正仿宋_GBK" w:cs="Times New Roman"/>
          <w:color w:val="000000"/>
          <w:sz w:val="32"/>
          <w:szCs w:val="22"/>
        </w:rPr>
        <w:t>。</w:t>
      </w:r>
      <w:r>
        <w:rPr>
          <w:rFonts w:hint="default" w:ascii="Times New Roman" w:hAnsi="Times New Roman" w:eastAsia="方正仿宋_GBK" w:cs="Times New Roman"/>
          <w:color w:val="000000"/>
          <w:sz w:val="32"/>
          <w:szCs w:val="32"/>
          <w:lang w:val="en-US" w:eastAsia="zh-CN"/>
        </w:rPr>
        <w:t>对接协调</w:t>
      </w:r>
      <w:r>
        <w:rPr>
          <w:rFonts w:hint="default" w:ascii="Times New Roman" w:hAnsi="Times New Roman" w:eastAsia="方正仿宋_GBK" w:cs="Times New Roman"/>
          <w:color w:val="000000"/>
          <w:sz w:val="32"/>
          <w:szCs w:val="22"/>
        </w:rPr>
        <w:t>外国驻澳门（香港）领事官员内地参访团</w:t>
      </w:r>
      <w:r>
        <w:rPr>
          <w:rFonts w:hint="default" w:ascii="Times New Roman" w:hAnsi="Times New Roman" w:eastAsia="方正仿宋_GBK" w:cs="Times New Roman"/>
          <w:color w:val="000000"/>
          <w:sz w:val="32"/>
          <w:szCs w:val="22"/>
          <w:lang w:val="en-US" w:eastAsia="zh-CN"/>
        </w:rPr>
        <w:t>和</w:t>
      </w:r>
      <w:r>
        <w:rPr>
          <w:rFonts w:hint="default" w:ascii="Times New Roman" w:hAnsi="Times New Roman" w:eastAsia="方正仿宋_GBK" w:cs="Times New Roman"/>
          <w:color w:val="000000"/>
          <w:sz w:val="32"/>
          <w:szCs w:val="22"/>
        </w:rPr>
        <w:t>香港公务员国家事务研习班</w:t>
      </w:r>
      <w:r>
        <w:rPr>
          <w:rFonts w:hint="default" w:ascii="Times New Roman" w:hAnsi="Times New Roman" w:eastAsia="方正仿宋_GBK" w:cs="Times New Roman"/>
          <w:color w:val="000000"/>
          <w:sz w:val="32"/>
          <w:szCs w:val="22"/>
          <w:lang w:val="en-US" w:eastAsia="zh-CN"/>
        </w:rPr>
        <w:t>学员来宁参访学习</w:t>
      </w:r>
      <w:r>
        <w:rPr>
          <w:rFonts w:hint="default" w:ascii="Times New Roman" w:hAnsi="Times New Roman" w:eastAsia="方正仿宋_GBK" w:cs="Times New Roman"/>
          <w:color w:val="000000"/>
          <w:sz w:val="32"/>
          <w:szCs w:val="22"/>
        </w:rPr>
        <w:t>。</w:t>
      </w:r>
    </w:p>
    <w:p w14:paraId="0E9FFF65">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i w:val="0"/>
          <w:caps w:val="0"/>
          <w:color w:val="000000" w:themeColor="text1"/>
          <w:spacing w:val="0"/>
          <w:sz w:val="32"/>
          <w:szCs w:val="32"/>
          <w:shd w:val="clear" w:color="auto" w:fill="FFFFFF"/>
          <w:lang w:val="en-US" w:eastAsia="zh-CN"/>
        </w:rPr>
        <w:t>（</w:t>
      </w:r>
      <w:r>
        <w:rPr>
          <w:rFonts w:hint="eastAsia" w:ascii="Times New Roman" w:hAnsi="Times New Roman" w:eastAsia="方正楷体_GBK" w:cs="Times New Roman"/>
          <w:i w:val="0"/>
          <w:caps w:val="0"/>
          <w:color w:val="000000" w:themeColor="text1"/>
          <w:spacing w:val="0"/>
          <w:sz w:val="32"/>
          <w:szCs w:val="32"/>
          <w:shd w:val="clear" w:color="auto" w:fill="FFFFFF"/>
          <w:lang w:val="en-US" w:eastAsia="zh-CN"/>
        </w:rPr>
        <w:t>六</w:t>
      </w:r>
      <w:r>
        <w:rPr>
          <w:rFonts w:hint="default" w:ascii="Times New Roman" w:hAnsi="Times New Roman" w:eastAsia="方正楷体_GBK" w:cs="Times New Roman"/>
          <w:i w:val="0"/>
          <w:caps w:val="0"/>
          <w:color w:val="000000" w:themeColor="text1"/>
          <w:spacing w:val="0"/>
          <w:sz w:val="32"/>
          <w:szCs w:val="32"/>
          <w:shd w:val="clear" w:color="auto" w:fill="FFFFFF"/>
          <w:lang w:val="en-US" w:eastAsia="zh-CN"/>
        </w:rPr>
        <w:t>）加强政治机关建设。</w:t>
      </w:r>
      <w:r>
        <w:rPr>
          <w:rFonts w:hint="default" w:ascii="Times New Roman" w:hAnsi="Times New Roman" w:eastAsia="方正仿宋_GBK" w:cs="Times New Roman"/>
          <w:b/>
          <w:bCs/>
          <w:i w:val="0"/>
          <w:caps w:val="0"/>
          <w:color w:val="000000" w:themeColor="text1"/>
          <w:spacing w:val="0"/>
          <w:sz w:val="32"/>
          <w:szCs w:val="32"/>
          <w:shd w:val="clear" w:color="auto" w:fill="FFFFFF"/>
          <w:lang w:eastAsia="zh-CN"/>
        </w:rPr>
        <w:t>深化思想理论武装。</w:t>
      </w:r>
      <w:r>
        <w:rPr>
          <w:rFonts w:hint="default" w:ascii="Times New Roman" w:hAnsi="Times New Roman" w:eastAsia="方正仿宋_GBK" w:cs="Times New Roman"/>
          <w:sz w:val="32"/>
          <w:szCs w:val="32"/>
          <w:lang w:eastAsia="zh-CN"/>
        </w:rPr>
        <w:t>严格落实“第一议题”制度</w:t>
      </w:r>
      <w:bookmarkStart w:id="2" w:name="OLE_LINK1"/>
      <w:r>
        <w:rPr>
          <w:rFonts w:hint="default" w:ascii="Times New Roman" w:hAnsi="Times New Roman" w:eastAsia="方正仿宋_GBK" w:cs="Times New Roman"/>
          <w:sz w:val="32"/>
          <w:szCs w:val="32"/>
          <w:lang w:eastAsia="zh-CN"/>
        </w:rPr>
        <w:t>，利用</w:t>
      </w:r>
      <w:r>
        <w:rPr>
          <w:rFonts w:hint="default" w:ascii="Times New Roman" w:hAnsi="Times New Roman" w:eastAsia="方正仿宋_GBK" w:cs="Times New Roman"/>
          <w:sz w:val="32"/>
          <w:szCs w:val="32"/>
        </w:rPr>
        <w:t>党组会</w:t>
      </w:r>
      <w:r>
        <w:rPr>
          <w:rFonts w:hint="default" w:ascii="Times New Roman" w:hAnsi="Times New Roman" w:eastAsia="方正仿宋_GBK" w:cs="Times New Roman"/>
          <w:sz w:val="32"/>
          <w:szCs w:val="32"/>
          <w:lang w:eastAsia="zh-CN"/>
        </w:rPr>
        <w:t>、月例会、周例会等形式第一时间</w:t>
      </w:r>
      <w:r>
        <w:rPr>
          <w:rFonts w:hint="default" w:ascii="Times New Roman" w:hAnsi="Times New Roman" w:eastAsia="方正仿宋_GBK" w:cs="Times New Roman"/>
          <w:sz w:val="32"/>
          <w:szCs w:val="32"/>
        </w:rPr>
        <w:t>学习习近平总书记重要讲话重要指示精神</w:t>
      </w:r>
      <w:bookmarkEnd w:id="2"/>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研究制定</w:t>
      </w:r>
      <w:r>
        <w:rPr>
          <w:rFonts w:hint="default" w:ascii="Times New Roman" w:hAnsi="Times New Roman" w:eastAsia="方正仿宋_GBK" w:cs="Times New Roman"/>
          <w:sz w:val="32"/>
          <w:szCs w:val="32"/>
        </w:rPr>
        <w:t>外办党组理论学习中心组年度学习计划，</w:t>
      </w:r>
      <w:r>
        <w:rPr>
          <w:rFonts w:hint="default" w:ascii="Times New Roman" w:hAnsi="Times New Roman" w:eastAsia="方正仿宋_GBK" w:cs="Times New Roman"/>
          <w:sz w:val="32"/>
          <w:szCs w:val="32"/>
          <w:lang w:eastAsia="zh-CN"/>
        </w:rPr>
        <w:t>组织</w:t>
      </w:r>
      <w:r>
        <w:rPr>
          <w:rFonts w:hint="default" w:ascii="Times New Roman" w:hAnsi="Times New Roman" w:eastAsia="方正仿宋_GBK" w:cs="Times New Roman"/>
          <w:sz w:val="32"/>
          <w:szCs w:val="32"/>
        </w:rPr>
        <w:t>党的二十届四中全会精神集中学习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开展</w:t>
      </w:r>
      <w:r>
        <w:rPr>
          <w:rFonts w:hint="default" w:ascii="Times New Roman" w:hAnsi="Times New Roman" w:eastAsia="方正仿宋_GBK" w:cs="Times New Roman"/>
          <w:sz w:val="32"/>
          <w:szCs w:val="32"/>
        </w:rPr>
        <w:t>深入贯彻中央八项规定精神学习教育</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外办党建研究课题荣获2025年度全</w:t>
      </w:r>
      <w:r>
        <w:rPr>
          <w:rFonts w:hint="default" w:ascii="Times New Roman" w:hAnsi="Times New Roman" w:eastAsia="方正仿宋_GBK" w:cs="Times New Roman"/>
          <w:b w:val="0"/>
          <w:bCs w:val="0"/>
          <w:color w:val="000000" w:themeColor="text1"/>
          <w:sz w:val="32"/>
          <w:szCs w:val="32"/>
          <w:lang w:eastAsia="zh-CN"/>
        </w:rPr>
        <w:t>市机关党建课题研究成果一等奖。</w:t>
      </w:r>
      <w:r>
        <w:rPr>
          <w:rFonts w:hint="default" w:ascii="Times New Roman" w:hAnsi="Times New Roman" w:eastAsia="方正仿宋_GBK" w:cs="Times New Roman"/>
          <w:b w:val="0"/>
          <w:bCs w:val="0"/>
          <w:i w:val="0"/>
          <w:caps w:val="0"/>
          <w:color w:val="000000" w:themeColor="text1"/>
          <w:spacing w:val="0"/>
          <w:sz w:val="32"/>
          <w:szCs w:val="32"/>
          <w:shd w:val="clear" w:color="auto" w:fill="FFFFFF"/>
          <w:lang w:eastAsia="zh-CN"/>
        </w:rPr>
        <w:t>加强干部队伍建设。</w:t>
      </w:r>
      <w:r>
        <w:rPr>
          <w:rFonts w:hint="default" w:ascii="Times New Roman" w:hAnsi="Times New Roman" w:eastAsia="方正仿宋_GBK" w:cs="Times New Roman"/>
          <w:b w:val="0"/>
          <w:bCs w:val="0"/>
          <w:sz w:val="32"/>
          <w:szCs w:val="32"/>
          <w:lang w:eastAsia="zh-CN"/>
        </w:rPr>
        <w:t>树立</w:t>
      </w:r>
      <w:r>
        <w:rPr>
          <w:rFonts w:hint="default" w:ascii="Times New Roman" w:hAnsi="Times New Roman" w:eastAsia="方正仿宋_GBK" w:cs="Times New Roman"/>
          <w:b w:val="0"/>
          <w:bCs w:val="0"/>
          <w:sz w:val="32"/>
          <w:szCs w:val="32"/>
        </w:rPr>
        <w:t>正</w:t>
      </w:r>
      <w:r>
        <w:rPr>
          <w:rFonts w:hint="default" w:ascii="Times New Roman" w:hAnsi="Times New Roman" w:eastAsia="方正仿宋_GBK" w:cs="Times New Roman"/>
          <w:sz w:val="32"/>
          <w:szCs w:val="32"/>
        </w:rPr>
        <w:t>确选人用人导向，规范</w:t>
      </w:r>
      <w:r>
        <w:rPr>
          <w:rFonts w:hint="default" w:ascii="Times New Roman" w:hAnsi="Times New Roman" w:eastAsia="方正仿宋_GBK" w:cs="Times New Roman"/>
          <w:sz w:val="32"/>
          <w:szCs w:val="32"/>
          <w:lang w:eastAsia="zh-CN"/>
        </w:rPr>
        <w:t>开展</w:t>
      </w:r>
      <w:r>
        <w:rPr>
          <w:rFonts w:hint="default" w:ascii="Times New Roman" w:hAnsi="Times New Roman" w:eastAsia="方正仿宋_GBK" w:cs="Times New Roman"/>
          <w:sz w:val="32"/>
          <w:szCs w:val="32"/>
        </w:rPr>
        <w:t>干部选拔任用</w:t>
      </w:r>
      <w:r>
        <w:rPr>
          <w:rFonts w:hint="default" w:ascii="Times New Roman" w:hAnsi="Times New Roman" w:eastAsia="方正仿宋_GBK" w:cs="Times New Roman"/>
          <w:sz w:val="32"/>
          <w:szCs w:val="32"/>
          <w:lang w:eastAsia="zh-CN"/>
        </w:rPr>
        <w:t>和职级晋升</w:t>
      </w:r>
      <w:r>
        <w:rPr>
          <w:rFonts w:hint="default" w:ascii="Times New Roman" w:hAnsi="Times New Roman" w:eastAsia="方正仿宋_GBK" w:cs="Times New Roman"/>
          <w:sz w:val="32"/>
          <w:szCs w:val="32"/>
        </w:rPr>
        <w:t>。修订《市外办干部队伍建设五年规划（2025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2030）》，</w:t>
      </w:r>
      <w:r>
        <w:rPr>
          <w:rFonts w:hint="default" w:ascii="Times New Roman" w:hAnsi="Times New Roman" w:eastAsia="方正仿宋_GBK" w:cs="Times New Roman"/>
          <w:sz w:val="32"/>
          <w:szCs w:val="32"/>
          <w:lang w:eastAsia="zh-CN"/>
        </w:rPr>
        <w:t>优化干部考核体系，安排</w:t>
      </w:r>
      <w:r>
        <w:rPr>
          <w:rFonts w:hint="default" w:ascii="Times New Roman" w:hAnsi="Times New Roman" w:eastAsia="方正仿宋_GBK" w:cs="Times New Roman"/>
          <w:sz w:val="32"/>
          <w:szCs w:val="32"/>
          <w:lang w:val="en-US" w:eastAsia="zh-CN"/>
        </w:rPr>
        <w:t>93人次</w:t>
      </w:r>
      <w:r>
        <w:rPr>
          <w:rFonts w:hint="default" w:ascii="Times New Roman" w:hAnsi="Times New Roman" w:eastAsia="方正仿宋_GBK" w:cs="Times New Roman"/>
          <w:sz w:val="32"/>
          <w:szCs w:val="32"/>
        </w:rPr>
        <w:t>参加省市相关部门组织的各类培训。召开</w:t>
      </w:r>
      <w:r>
        <w:rPr>
          <w:rFonts w:hint="default" w:ascii="Times New Roman" w:hAnsi="Times New Roman" w:eastAsia="方正仿宋_GBK" w:cs="Times New Roman"/>
          <w:sz w:val="32"/>
          <w:szCs w:val="32"/>
          <w:lang w:eastAsia="zh-CN"/>
        </w:rPr>
        <w:t>科级</w:t>
      </w:r>
      <w:r>
        <w:rPr>
          <w:rFonts w:hint="default" w:ascii="Times New Roman" w:hAnsi="Times New Roman" w:eastAsia="方正仿宋_GBK" w:cs="Times New Roman"/>
          <w:sz w:val="32"/>
          <w:szCs w:val="32"/>
        </w:rPr>
        <w:t>干部座谈会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定期举办</w:t>
      </w:r>
      <w:r>
        <w:rPr>
          <w:rFonts w:hint="default" w:ascii="Times New Roman" w:hAnsi="Times New Roman" w:eastAsia="方正仿宋_GBK" w:cs="Times New Roman"/>
          <w:sz w:val="32"/>
          <w:szCs w:val="32"/>
        </w:rPr>
        <w:t>“外办讲坛”，</w:t>
      </w:r>
      <w:r>
        <w:rPr>
          <w:rFonts w:hint="default" w:ascii="Times New Roman" w:hAnsi="Times New Roman" w:eastAsia="方正仿宋_GBK" w:cs="Times New Roman"/>
          <w:sz w:val="32"/>
          <w:szCs w:val="32"/>
          <w:lang w:eastAsia="zh-CN"/>
        </w:rPr>
        <w:t>为年轻干部成长搭建</w:t>
      </w:r>
      <w:r>
        <w:rPr>
          <w:rFonts w:hint="default" w:ascii="Times New Roman" w:hAnsi="Times New Roman" w:eastAsia="方正仿宋_GBK" w:cs="Times New Roman"/>
          <w:sz w:val="32"/>
          <w:szCs w:val="32"/>
        </w:rPr>
        <w:t>平台。</w:t>
      </w:r>
      <w:r>
        <w:rPr>
          <w:rFonts w:hint="default" w:ascii="Times New Roman" w:hAnsi="Times New Roman" w:eastAsia="方正仿宋_GBK" w:cs="Times New Roman"/>
          <w:sz w:val="32"/>
          <w:szCs w:val="32"/>
          <w:lang w:eastAsia="zh-CN"/>
        </w:rPr>
        <w:t>坚持严管厚爱并重，</w:t>
      </w:r>
      <w:r>
        <w:rPr>
          <w:rFonts w:hint="default" w:ascii="Times New Roman" w:hAnsi="Times New Roman" w:eastAsia="方正仿宋_GBK" w:cs="Times New Roman"/>
          <w:sz w:val="32"/>
          <w:szCs w:val="32"/>
        </w:rPr>
        <w:t>严格个人事项填报核查和因私出国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管理，</w:t>
      </w:r>
      <w:r>
        <w:rPr>
          <w:rFonts w:hint="default" w:ascii="Times New Roman" w:hAnsi="Times New Roman" w:eastAsia="方正仿宋_GBK" w:cs="Times New Roman"/>
          <w:sz w:val="32"/>
          <w:szCs w:val="32"/>
          <w:lang w:eastAsia="zh-CN"/>
        </w:rPr>
        <w:t>常态化落实干部谈心谈话制度。</w:t>
      </w:r>
      <w:r>
        <w:rPr>
          <w:rFonts w:hint="default" w:ascii="Times New Roman" w:hAnsi="Times New Roman" w:eastAsia="方正仿宋_GBK" w:cs="Times New Roman"/>
          <w:b/>
          <w:bCs/>
          <w:sz w:val="32"/>
          <w:szCs w:val="32"/>
        </w:rPr>
        <w:t>提升基层党建质效。</w:t>
      </w:r>
      <w:r>
        <w:rPr>
          <w:rFonts w:hint="default" w:ascii="Times New Roman" w:hAnsi="Times New Roman" w:eastAsia="方正仿宋_GBK" w:cs="Times New Roman"/>
          <w:sz w:val="32"/>
          <w:szCs w:val="32"/>
          <w:lang w:eastAsia="zh-CN"/>
        </w:rPr>
        <w:t>持续</w:t>
      </w:r>
      <w:r>
        <w:rPr>
          <w:rFonts w:hint="default" w:ascii="Times New Roman" w:hAnsi="Times New Roman" w:eastAsia="方正仿宋_GBK" w:cs="Times New Roman"/>
          <w:sz w:val="32"/>
          <w:szCs w:val="32"/>
        </w:rPr>
        <w:t>推进“双结对、双促进”工作，完成建设“友好建邺·蜂行莫愁”友好小区的年度重点攻坚项目，举办“涉外服务进社区”等特色活动，助力基层治理工作。深化“四强”党支部建设，开展党支部书记抓党建述职评议考核工作。坚持“一支部一特色”，推动外办党支部开展共建活动20</w:t>
      </w:r>
      <w:r>
        <w:rPr>
          <w:rFonts w:hint="default" w:ascii="Times New Roman" w:hAnsi="Times New Roman" w:eastAsia="方正仿宋_GBK" w:cs="Times New Roman"/>
          <w:sz w:val="32"/>
          <w:szCs w:val="32"/>
          <w:lang w:eastAsia="zh-CN"/>
        </w:rPr>
        <w:t>余</w:t>
      </w:r>
      <w:r>
        <w:rPr>
          <w:rFonts w:hint="default" w:ascii="Times New Roman" w:hAnsi="Times New Roman" w:eastAsia="方正仿宋_GBK" w:cs="Times New Roman"/>
          <w:sz w:val="32"/>
          <w:szCs w:val="32"/>
        </w:rPr>
        <w:t>次。</w:t>
      </w:r>
      <w:r>
        <w:rPr>
          <w:rFonts w:hint="default" w:ascii="Times New Roman" w:hAnsi="Times New Roman" w:eastAsia="方正仿宋_GBK" w:cs="Times New Roman"/>
          <w:b/>
          <w:bCs/>
          <w:sz w:val="32"/>
          <w:szCs w:val="32"/>
          <w:lang w:eastAsia="zh-CN"/>
        </w:rPr>
        <w:t>强化廉政作风建设。</w:t>
      </w:r>
      <w:r>
        <w:rPr>
          <w:rFonts w:hint="default" w:ascii="Times New Roman" w:hAnsi="Times New Roman" w:eastAsia="方正仿宋_GBK" w:cs="Times New Roman"/>
          <w:sz w:val="32"/>
          <w:szCs w:val="32"/>
          <w:lang w:eastAsia="zh-CN"/>
        </w:rPr>
        <w:t>围绕</w:t>
      </w:r>
      <w:r>
        <w:rPr>
          <w:rFonts w:hint="default" w:ascii="Times New Roman" w:hAnsi="Times New Roman" w:eastAsia="方正仿宋_GBK" w:cs="Times New Roman"/>
          <w:sz w:val="32"/>
          <w:szCs w:val="32"/>
        </w:rPr>
        <w:t>春节、</w:t>
      </w:r>
      <w:r>
        <w:rPr>
          <w:rFonts w:hint="default" w:ascii="Times New Roman" w:hAnsi="Times New Roman" w:eastAsia="方正仿宋_GBK" w:cs="Times New Roman"/>
          <w:sz w:val="32"/>
          <w:szCs w:val="32"/>
          <w:lang w:eastAsia="zh-CN"/>
        </w:rPr>
        <w:t>五一、</w:t>
      </w:r>
      <w:r>
        <w:rPr>
          <w:rFonts w:hint="default" w:ascii="Times New Roman" w:hAnsi="Times New Roman" w:eastAsia="方正仿宋_GBK" w:cs="Times New Roman"/>
          <w:sz w:val="32"/>
          <w:szCs w:val="32"/>
        </w:rPr>
        <w:t>国庆等</w:t>
      </w:r>
      <w:r>
        <w:rPr>
          <w:rFonts w:hint="default" w:ascii="Times New Roman" w:hAnsi="Times New Roman" w:eastAsia="方正仿宋_GBK" w:cs="Times New Roman"/>
          <w:sz w:val="32"/>
          <w:szCs w:val="32"/>
          <w:lang w:eastAsia="zh-CN"/>
        </w:rPr>
        <w:t>重要节点</w:t>
      </w:r>
      <w:r>
        <w:rPr>
          <w:rFonts w:hint="default" w:ascii="Times New Roman" w:hAnsi="Times New Roman" w:eastAsia="方正仿宋_GBK" w:cs="Times New Roman"/>
          <w:sz w:val="32"/>
          <w:szCs w:val="32"/>
        </w:rPr>
        <w:t>，及时通报违规违纪典型案例</w:t>
      </w:r>
      <w:r>
        <w:rPr>
          <w:rFonts w:hint="default" w:ascii="Times New Roman" w:hAnsi="Times New Roman" w:eastAsia="方正仿宋_GBK" w:cs="Times New Roman"/>
          <w:sz w:val="32"/>
          <w:szCs w:val="32"/>
          <w:lang w:eastAsia="zh-CN"/>
        </w:rPr>
        <w:t>，定期</w:t>
      </w:r>
      <w:r>
        <w:rPr>
          <w:rFonts w:hint="default" w:ascii="Times New Roman" w:hAnsi="Times New Roman" w:eastAsia="方正仿宋_GBK" w:cs="Times New Roman"/>
          <w:sz w:val="32"/>
          <w:szCs w:val="32"/>
        </w:rPr>
        <w:t>转发廉政短信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紧盯处室负责人、新提拔干部、年轻干部、关键岗位干部，</w:t>
      </w:r>
      <w:r>
        <w:rPr>
          <w:rFonts w:hint="default" w:ascii="Times New Roman" w:hAnsi="Times New Roman" w:eastAsia="方正仿宋_GBK" w:cs="Times New Roman"/>
          <w:sz w:val="32"/>
          <w:szCs w:val="32"/>
          <w:lang w:eastAsia="zh-CN"/>
        </w:rPr>
        <w:t>开展</w:t>
      </w:r>
      <w:r>
        <w:rPr>
          <w:rFonts w:hint="default" w:ascii="Times New Roman" w:hAnsi="Times New Roman" w:eastAsia="方正仿宋_GBK" w:cs="Times New Roman"/>
          <w:sz w:val="32"/>
          <w:szCs w:val="32"/>
        </w:rPr>
        <w:t>集中警示教育10次，</w:t>
      </w:r>
      <w:r>
        <w:rPr>
          <w:rFonts w:hint="default" w:ascii="Times New Roman" w:hAnsi="Times New Roman" w:eastAsia="方正仿宋_GBK" w:cs="Times New Roman"/>
          <w:sz w:val="32"/>
          <w:szCs w:val="32"/>
          <w:lang w:eastAsia="zh-CN"/>
        </w:rPr>
        <w:t>举办“好家风</w:t>
      </w:r>
      <w:r>
        <w:rPr>
          <w:rFonts w:hint="default" w:ascii="Times New Roman" w:hAnsi="Times New Roman" w:eastAsia="方正仿宋_GBK" w:cs="Times New Roman"/>
          <w:sz w:val="32"/>
          <w:szCs w:val="32"/>
          <w:lang w:val="en-US" w:eastAsia="zh-CN"/>
        </w:rPr>
        <w:t xml:space="preserve"> 好人生</w:t>
      </w:r>
      <w:r>
        <w:rPr>
          <w:rFonts w:hint="default" w:ascii="Times New Roman" w:hAnsi="Times New Roman" w:eastAsia="方正仿宋_GBK" w:cs="Times New Roman"/>
          <w:sz w:val="32"/>
          <w:szCs w:val="32"/>
          <w:lang w:eastAsia="zh-CN"/>
        </w:rPr>
        <w:t>”廉洁课堂，</w:t>
      </w:r>
      <w:r>
        <w:rPr>
          <w:rFonts w:hint="default" w:ascii="Times New Roman" w:hAnsi="Times New Roman" w:eastAsia="方正仿宋_GBK" w:cs="Times New Roman"/>
          <w:sz w:val="32"/>
          <w:szCs w:val="32"/>
        </w:rPr>
        <w:t>参与市级机关“一封廉洁家书”征集活动。常态化抓好整治违规吃喝、整治形式主义为基层减负等重点工作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推进2024年度作风建设满意度评议反馈意见整改，不断</w:t>
      </w:r>
      <w:r>
        <w:rPr>
          <w:rFonts w:hint="default" w:ascii="Times New Roman" w:hAnsi="Times New Roman" w:eastAsia="方正仿宋_GBK" w:cs="Times New Roman"/>
          <w:sz w:val="32"/>
          <w:szCs w:val="32"/>
          <w:lang w:eastAsia="zh-CN"/>
        </w:rPr>
        <w:t>提升</w:t>
      </w:r>
      <w:r>
        <w:rPr>
          <w:rFonts w:hint="default" w:ascii="Times New Roman" w:hAnsi="Times New Roman" w:eastAsia="方正仿宋_GBK" w:cs="Times New Roman"/>
          <w:sz w:val="32"/>
          <w:szCs w:val="32"/>
        </w:rPr>
        <w:t>外办机关作风。</w:t>
      </w:r>
    </w:p>
    <w:p w14:paraId="04EB3D71">
      <w:pPr>
        <w:widowControl/>
        <w:spacing w:line="579" w:lineRule="exact"/>
        <w:ind w:firstLine="640" w:firstLineChars="200"/>
        <w:rPr>
          <w:rFonts w:ascii="方正黑体_GBK" w:hAnsi="Times New Roman" w:eastAsia="方正黑体_GBK" w:cs="Times New Roman"/>
          <w:color w:val="333333"/>
          <w:kern w:val="0"/>
          <w:sz w:val="32"/>
          <w:szCs w:val="32"/>
        </w:rPr>
      </w:pPr>
      <w:bookmarkStart w:id="3" w:name="_GoBack"/>
      <w:bookmarkEnd w:id="3"/>
      <w:r>
        <w:rPr>
          <w:rFonts w:ascii="方正黑体_GBK" w:hAnsi="Times New Roman" w:eastAsia="方正黑体_GBK" w:cs="Times New Roman"/>
          <w:color w:val="333333"/>
          <w:kern w:val="0"/>
          <w:sz w:val="32"/>
          <w:szCs w:val="32"/>
        </w:rPr>
        <w:t>四、存在的主要问题及下一步改进措施</w:t>
      </w:r>
    </w:p>
    <w:p w14:paraId="537D6ECE">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i w:val="0"/>
          <w:caps w:val="0"/>
          <w:color w:val="000000" w:themeColor="text1"/>
          <w:spacing w:val="0"/>
          <w:sz w:val="32"/>
          <w:szCs w:val="32"/>
          <w:shd w:val="clear" w:color="auto" w:fill="FFFFFF"/>
          <w:lang w:val="en-US" w:eastAsia="zh-CN"/>
        </w:rPr>
      </w:pPr>
      <w:r>
        <w:rPr>
          <w:rFonts w:hint="default" w:ascii="Times New Roman" w:hAnsi="Times New Roman" w:eastAsia="方正楷体_GBK" w:cs="Times New Roman"/>
          <w:i w:val="0"/>
          <w:caps w:val="0"/>
          <w:color w:val="000000" w:themeColor="text1"/>
          <w:spacing w:val="0"/>
          <w:sz w:val="32"/>
          <w:szCs w:val="32"/>
          <w:shd w:val="clear" w:color="auto" w:fill="FFFFFF"/>
          <w:lang w:val="en-US" w:eastAsia="zh-CN"/>
        </w:rPr>
        <w:t>（一） 存在的主要问题</w:t>
      </w:r>
    </w:p>
    <w:p w14:paraId="4BAA73C7">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个别项目未能按时完成</w:t>
      </w:r>
    </w:p>
    <w:p w14:paraId="680A7108">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本办年初计划安排的友城公务员来宁培训计划和国际友谊公园建设项目，因国际形势变化未能按计划组织，相关费用已调整用于举办其他主场外事活动</w:t>
      </w:r>
      <w:r>
        <w:rPr>
          <w:rFonts w:hint="default" w:ascii="Times New Roman" w:hAnsi="Times New Roman" w:eastAsia="方正仿宋_GBK" w:cs="Times New Roman"/>
          <w:sz w:val="32"/>
          <w:szCs w:val="32"/>
        </w:rPr>
        <w:t>。</w:t>
      </w:r>
    </w:p>
    <w:p w14:paraId="727357D3">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i w:val="0"/>
          <w:caps w:val="0"/>
          <w:color w:val="000000" w:themeColor="text1"/>
          <w:spacing w:val="0"/>
          <w:sz w:val="32"/>
          <w:szCs w:val="32"/>
          <w:shd w:val="clear" w:color="auto" w:fill="FFFFFF"/>
          <w:lang w:val="en-US" w:eastAsia="zh-CN"/>
        </w:rPr>
      </w:pPr>
      <w:r>
        <w:rPr>
          <w:rFonts w:hint="default" w:ascii="Times New Roman" w:hAnsi="Times New Roman" w:eastAsia="方正楷体_GBK" w:cs="Times New Roman"/>
          <w:i w:val="0"/>
          <w:caps w:val="0"/>
          <w:color w:val="000000" w:themeColor="text1"/>
          <w:spacing w:val="0"/>
          <w:sz w:val="32"/>
          <w:szCs w:val="32"/>
          <w:shd w:val="clear" w:color="auto" w:fill="FFFFFF"/>
          <w:lang w:val="en-US" w:eastAsia="zh-CN"/>
        </w:rPr>
        <w:t>（二）下一步改进措施</w:t>
      </w:r>
    </w:p>
    <w:p w14:paraId="38272EA9">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一是</w:t>
      </w:r>
      <w:r>
        <w:rPr>
          <w:rFonts w:hint="eastAsia" w:ascii="Times New Roman" w:hAnsi="Times New Roman" w:eastAsia="方正仿宋_GBK" w:cs="Times New Roman"/>
          <w:sz w:val="32"/>
          <w:szCs w:val="32"/>
          <w:lang w:val="en-US" w:eastAsia="zh-CN"/>
        </w:rPr>
        <w:t>强化预算编制的科学性</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进一步提升预算编制的科学性，对项目经费预算的可行性论证提出更高要求。</w:t>
      </w:r>
    </w:p>
    <w:p w14:paraId="26C6B237">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二是</w:t>
      </w:r>
      <w:r>
        <w:rPr>
          <w:rFonts w:hint="eastAsia" w:ascii="Times New Roman" w:hAnsi="Times New Roman" w:eastAsia="方正仿宋_GBK" w:cs="Times New Roman"/>
          <w:sz w:val="32"/>
          <w:szCs w:val="32"/>
          <w:lang w:val="en-US" w:eastAsia="zh-CN"/>
        </w:rPr>
        <w:t>强化预算执行的刚性约束</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对于列入年度预算的项目，明确实施方案和时间节点，确保项目按时完成并取得相应的效果</w:t>
      </w:r>
      <w:r>
        <w:rPr>
          <w:rFonts w:hint="default" w:ascii="Times New Roman" w:hAnsi="Times New Roman" w:eastAsia="方正仿宋_GBK" w:cs="Times New Roman"/>
          <w:sz w:val="32"/>
          <w:szCs w:val="32"/>
        </w:rPr>
        <w:t>。</w:t>
      </w:r>
    </w:p>
    <w:p w14:paraId="7E25BAE1">
      <w:pPr>
        <w:widowControl/>
        <w:spacing w:line="579" w:lineRule="exact"/>
        <w:ind w:firstLine="480"/>
        <w:rPr>
          <w:rFonts w:ascii="Times New Roman" w:hAnsi="Times New Roman" w:eastAsia="方正仿宋_GBK" w:cs="Times New Roman"/>
          <w:color w:val="333333"/>
          <w:kern w:val="0"/>
          <w:sz w:val="32"/>
          <w:szCs w:val="32"/>
        </w:rPr>
      </w:pPr>
    </w:p>
    <w:p w14:paraId="721C79C4">
      <w:pPr>
        <w:widowControl/>
        <w:spacing w:line="579" w:lineRule="exact"/>
        <w:ind w:firstLine="480"/>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 xml:space="preserve">附件：《单位整体绩效评价自评表》              </w:t>
      </w:r>
    </w:p>
    <w:p w14:paraId="01B508D1">
      <w:pPr>
        <w:spacing w:line="579" w:lineRule="exact"/>
        <w:rPr>
          <w:rFonts w:ascii="Times New Roman" w:hAnsi="Times New Roman" w:eastAsia="方正仿宋_GBK" w:cs="Times New Roman"/>
          <w:sz w:val="32"/>
          <w:szCs w:val="32"/>
        </w:rPr>
        <w:sectPr>
          <w:footerReference r:id="rId3" w:type="default"/>
          <w:pgSz w:w="11906" w:h="16838"/>
          <w:pgMar w:top="2098" w:right="1588" w:bottom="1701" w:left="1588" w:header="851" w:footer="992" w:gutter="0"/>
          <w:cols w:space="425" w:num="1"/>
          <w:docGrid w:type="lines" w:linePitch="312" w:charSpace="0"/>
        </w:sectPr>
      </w:pPr>
    </w:p>
    <w:p w14:paraId="6ADDC143">
      <w:pPr>
        <w:rPr>
          <w:rFonts w:ascii="Times New Roman" w:hAnsi="Times New Roman" w:eastAsia="方正仿宋_GBK" w:cs="Times New Roman"/>
          <w:color w:val="333333"/>
          <w:kern w:val="0"/>
          <w:sz w:val="32"/>
          <w:szCs w:val="32"/>
        </w:rPr>
      </w:pPr>
      <w:r>
        <w:rPr>
          <w:rFonts w:ascii="Times New Roman" w:hAnsi="Times New Roman" w:eastAsia="方正仿宋_GBK" w:cs="Times New Roman"/>
          <w:color w:val="333333"/>
          <w:kern w:val="0"/>
          <w:sz w:val="32"/>
          <w:szCs w:val="32"/>
        </w:rPr>
        <w:t>附件：《单位整体绩效评价自评表》</w:t>
      </w:r>
    </w:p>
    <w:tbl>
      <w:tblPr>
        <w:tblStyle w:val="12"/>
        <w:tblW w:w="14371" w:type="dxa"/>
        <w:tblInd w:w="-371" w:type="dxa"/>
        <w:tblLayout w:type="fixed"/>
        <w:tblCellMar>
          <w:top w:w="0" w:type="dxa"/>
          <w:left w:w="108" w:type="dxa"/>
          <w:bottom w:w="0" w:type="dxa"/>
          <w:right w:w="108" w:type="dxa"/>
        </w:tblCellMar>
      </w:tblPr>
      <w:tblGrid>
        <w:gridCol w:w="1266"/>
        <w:gridCol w:w="1623"/>
        <w:gridCol w:w="3402"/>
        <w:gridCol w:w="3686"/>
        <w:gridCol w:w="2551"/>
        <w:gridCol w:w="851"/>
        <w:gridCol w:w="992"/>
      </w:tblGrid>
      <w:tr w14:paraId="736D7875">
        <w:tblPrEx>
          <w:tblCellMar>
            <w:top w:w="0" w:type="dxa"/>
            <w:left w:w="108" w:type="dxa"/>
            <w:bottom w:w="0" w:type="dxa"/>
            <w:right w:w="108" w:type="dxa"/>
          </w:tblCellMar>
        </w:tblPrEx>
        <w:trPr>
          <w:trHeight w:val="600" w:hRule="atLeast"/>
          <w:tblHeader/>
        </w:trPr>
        <w:tc>
          <w:tcPr>
            <w:tcW w:w="1266" w:type="dxa"/>
            <w:tcBorders>
              <w:top w:val="single" w:color="auto" w:sz="8" w:space="0"/>
              <w:left w:val="single" w:color="auto" w:sz="8" w:space="0"/>
              <w:bottom w:val="single" w:color="auto" w:sz="8" w:space="0"/>
              <w:right w:val="single" w:color="auto" w:sz="8" w:space="0"/>
            </w:tcBorders>
            <w:shd w:val="clear" w:color="auto" w:fill="auto"/>
            <w:vAlign w:val="center"/>
          </w:tcPr>
          <w:p w14:paraId="4928BDD6">
            <w:pPr>
              <w:widowControl/>
              <w:jc w:val="center"/>
              <w:rPr>
                <w:rFonts w:ascii="Times New Roman" w:hAnsi="Times New Roman" w:eastAsia="方正仿宋_GBK" w:cs="Times New Roman"/>
                <w:b/>
                <w:bCs/>
                <w:color w:val="000000"/>
                <w:kern w:val="0"/>
                <w:sz w:val="24"/>
                <w:szCs w:val="24"/>
              </w:rPr>
            </w:pPr>
            <w:r>
              <w:rPr>
                <w:rFonts w:ascii="Times New Roman" w:hAnsi="Times New Roman" w:eastAsia="方正仿宋_GBK" w:cs="Times New Roman"/>
                <w:b/>
                <w:bCs/>
                <w:color w:val="000000"/>
                <w:kern w:val="0"/>
                <w:sz w:val="24"/>
                <w:szCs w:val="24"/>
              </w:rPr>
              <w:t>一级指标</w:t>
            </w:r>
          </w:p>
        </w:tc>
        <w:tc>
          <w:tcPr>
            <w:tcW w:w="1623" w:type="dxa"/>
            <w:tcBorders>
              <w:top w:val="single" w:color="auto" w:sz="8" w:space="0"/>
              <w:left w:val="nil"/>
              <w:bottom w:val="single" w:color="auto" w:sz="8" w:space="0"/>
              <w:right w:val="single" w:color="auto" w:sz="8" w:space="0"/>
            </w:tcBorders>
            <w:shd w:val="clear" w:color="auto" w:fill="auto"/>
            <w:vAlign w:val="center"/>
          </w:tcPr>
          <w:p w14:paraId="173EFC71">
            <w:pPr>
              <w:widowControl/>
              <w:jc w:val="center"/>
              <w:rPr>
                <w:rFonts w:ascii="Times New Roman" w:hAnsi="Times New Roman" w:eastAsia="方正仿宋_GBK" w:cs="Times New Roman"/>
                <w:b/>
                <w:bCs/>
                <w:color w:val="000000"/>
                <w:kern w:val="0"/>
                <w:sz w:val="24"/>
                <w:szCs w:val="24"/>
              </w:rPr>
            </w:pPr>
            <w:r>
              <w:rPr>
                <w:rFonts w:ascii="Times New Roman" w:hAnsi="Times New Roman" w:eastAsia="方正仿宋_GBK" w:cs="Times New Roman"/>
                <w:b/>
                <w:bCs/>
                <w:color w:val="000000"/>
                <w:kern w:val="0"/>
                <w:sz w:val="24"/>
                <w:szCs w:val="24"/>
              </w:rPr>
              <w:t>二级指标</w:t>
            </w:r>
          </w:p>
        </w:tc>
        <w:tc>
          <w:tcPr>
            <w:tcW w:w="3402" w:type="dxa"/>
            <w:tcBorders>
              <w:top w:val="single" w:color="auto" w:sz="8" w:space="0"/>
              <w:left w:val="nil"/>
              <w:bottom w:val="single" w:color="auto" w:sz="8" w:space="0"/>
              <w:right w:val="single" w:color="auto" w:sz="8" w:space="0"/>
            </w:tcBorders>
            <w:shd w:val="clear" w:color="auto" w:fill="auto"/>
            <w:vAlign w:val="center"/>
          </w:tcPr>
          <w:p w14:paraId="7C7AFB8D">
            <w:pPr>
              <w:widowControl/>
              <w:jc w:val="center"/>
              <w:rPr>
                <w:rFonts w:ascii="Times New Roman" w:hAnsi="Times New Roman" w:eastAsia="方正仿宋_GBK" w:cs="Times New Roman"/>
                <w:b/>
                <w:bCs/>
                <w:color w:val="000000"/>
                <w:kern w:val="0"/>
                <w:sz w:val="24"/>
                <w:szCs w:val="24"/>
              </w:rPr>
            </w:pPr>
            <w:r>
              <w:rPr>
                <w:rFonts w:ascii="Times New Roman" w:hAnsi="Times New Roman" w:eastAsia="方正仿宋_GBK" w:cs="Times New Roman"/>
                <w:b/>
                <w:bCs/>
                <w:color w:val="000000"/>
                <w:kern w:val="0"/>
                <w:sz w:val="24"/>
                <w:szCs w:val="24"/>
              </w:rPr>
              <w:t>三级指标（参考）</w:t>
            </w:r>
          </w:p>
        </w:tc>
        <w:tc>
          <w:tcPr>
            <w:tcW w:w="3686" w:type="dxa"/>
            <w:tcBorders>
              <w:top w:val="single" w:color="auto" w:sz="8" w:space="0"/>
              <w:left w:val="nil"/>
              <w:bottom w:val="single" w:color="auto" w:sz="8" w:space="0"/>
              <w:right w:val="single" w:color="auto" w:sz="8" w:space="0"/>
            </w:tcBorders>
            <w:shd w:val="clear" w:color="auto" w:fill="auto"/>
            <w:vAlign w:val="center"/>
          </w:tcPr>
          <w:p w14:paraId="0409A7EB">
            <w:pPr>
              <w:widowControl/>
              <w:jc w:val="center"/>
              <w:rPr>
                <w:rFonts w:ascii="Times New Roman" w:hAnsi="Times New Roman" w:eastAsia="方正仿宋_GBK" w:cs="Times New Roman"/>
                <w:b/>
                <w:bCs/>
                <w:color w:val="000000"/>
                <w:kern w:val="0"/>
                <w:sz w:val="24"/>
                <w:szCs w:val="24"/>
              </w:rPr>
            </w:pPr>
            <w:r>
              <w:rPr>
                <w:rFonts w:ascii="Times New Roman" w:hAnsi="Times New Roman" w:eastAsia="方正仿宋_GBK" w:cs="Times New Roman"/>
                <w:b/>
                <w:bCs/>
                <w:color w:val="000000"/>
                <w:kern w:val="0"/>
                <w:sz w:val="24"/>
                <w:szCs w:val="24"/>
              </w:rPr>
              <w:t>指标说明</w:t>
            </w:r>
          </w:p>
        </w:tc>
        <w:tc>
          <w:tcPr>
            <w:tcW w:w="2551" w:type="dxa"/>
            <w:tcBorders>
              <w:top w:val="single" w:color="auto" w:sz="8" w:space="0"/>
              <w:left w:val="nil"/>
              <w:bottom w:val="single" w:color="auto" w:sz="8" w:space="0"/>
              <w:right w:val="single" w:color="auto" w:sz="8" w:space="0"/>
            </w:tcBorders>
            <w:vAlign w:val="center"/>
          </w:tcPr>
          <w:p w14:paraId="0EB6DCE8">
            <w:pPr>
              <w:widowControl/>
              <w:jc w:val="center"/>
              <w:rPr>
                <w:rFonts w:ascii="Times New Roman" w:hAnsi="Times New Roman" w:eastAsia="方正仿宋_GBK" w:cs="Times New Roman"/>
                <w:b/>
                <w:bCs/>
                <w:color w:val="000000"/>
                <w:kern w:val="0"/>
                <w:sz w:val="24"/>
                <w:szCs w:val="24"/>
              </w:rPr>
            </w:pPr>
            <w:r>
              <w:rPr>
                <w:rFonts w:ascii="Times New Roman" w:hAnsi="Times New Roman" w:eastAsia="方正仿宋_GBK" w:cs="Times New Roman"/>
                <w:b/>
                <w:bCs/>
                <w:color w:val="000000"/>
                <w:kern w:val="0"/>
                <w:sz w:val="24"/>
                <w:szCs w:val="24"/>
              </w:rPr>
              <w:t>评价要点</w:t>
            </w:r>
          </w:p>
        </w:tc>
        <w:tc>
          <w:tcPr>
            <w:tcW w:w="851" w:type="dxa"/>
            <w:tcBorders>
              <w:top w:val="single" w:color="auto" w:sz="8" w:space="0"/>
              <w:left w:val="single" w:color="auto" w:sz="8" w:space="0"/>
              <w:bottom w:val="single" w:color="auto" w:sz="8" w:space="0"/>
              <w:right w:val="single" w:color="auto" w:sz="8" w:space="0"/>
            </w:tcBorders>
            <w:vAlign w:val="center"/>
          </w:tcPr>
          <w:p w14:paraId="61ECDE75">
            <w:pPr>
              <w:widowControl/>
              <w:jc w:val="center"/>
              <w:rPr>
                <w:rFonts w:ascii="Times New Roman" w:hAnsi="Times New Roman" w:eastAsia="方正仿宋_GBK" w:cs="Times New Roman"/>
                <w:b/>
                <w:bCs/>
                <w:color w:val="000000"/>
                <w:kern w:val="0"/>
                <w:sz w:val="24"/>
                <w:szCs w:val="24"/>
              </w:rPr>
            </w:pPr>
            <w:r>
              <w:rPr>
                <w:rFonts w:ascii="Times New Roman" w:hAnsi="Times New Roman" w:eastAsia="方正仿宋_GBK" w:cs="Times New Roman"/>
                <w:b/>
                <w:bCs/>
                <w:color w:val="000000"/>
                <w:kern w:val="0"/>
                <w:sz w:val="24"/>
                <w:szCs w:val="24"/>
              </w:rPr>
              <w:t>分数权重</w:t>
            </w: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14:paraId="374C9A0D">
            <w:pPr>
              <w:widowControl/>
              <w:jc w:val="center"/>
              <w:rPr>
                <w:rFonts w:ascii="Times New Roman" w:hAnsi="Times New Roman" w:eastAsia="方正仿宋_GBK" w:cs="Times New Roman"/>
                <w:b/>
                <w:bCs/>
                <w:color w:val="000000"/>
                <w:kern w:val="0"/>
                <w:sz w:val="24"/>
                <w:szCs w:val="24"/>
              </w:rPr>
            </w:pPr>
            <w:r>
              <w:rPr>
                <w:rFonts w:ascii="Times New Roman" w:hAnsi="Times New Roman" w:eastAsia="方正仿宋_GBK" w:cs="Times New Roman"/>
                <w:b/>
                <w:bCs/>
                <w:color w:val="000000"/>
                <w:kern w:val="0"/>
                <w:sz w:val="24"/>
                <w:szCs w:val="24"/>
              </w:rPr>
              <w:t>自评得分情况</w:t>
            </w:r>
          </w:p>
        </w:tc>
      </w:tr>
      <w:tr w14:paraId="1F9A53B3">
        <w:tblPrEx>
          <w:tblCellMar>
            <w:top w:w="0" w:type="dxa"/>
            <w:left w:w="108" w:type="dxa"/>
            <w:bottom w:w="0" w:type="dxa"/>
            <w:right w:w="108" w:type="dxa"/>
          </w:tblCellMar>
        </w:tblPrEx>
        <w:trPr>
          <w:trHeight w:val="511" w:hRule="atLeast"/>
        </w:trPr>
        <w:tc>
          <w:tcPr>
            <w:tcW w:w="1266" w:type="dxa"/>
            <w:vMerge w:val="restart"/>
            <w:tcBorders>
              <w:top w:val="nil"/>
              <w:left w:val="single" w:color="auto" w:sz="8" w:space="0"/>
              <w:bottom w:val="single" w:color="000000" w:sz="8" w:space="0"/>
              <w:right w:val="single" w:color="auto" w:sz="8" w:space="0"/>
            </w:tcBorders>
            <w:shd w:val="clear" w:color="auto" w:fill="auto"/>
            <w:vAlign w:val="center"/>
          </w:tcPr>
          <w:p w14:paraId="244A5CD3">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A部门决策（15分）</w:t>
            </w:r>
          </w:p>
        </w:tc>
        <w:tc>
          <w:tcPr>
            <w:tcW w:w="1623" w:type="dxa"/>
            <w:vMerge w:val="restart"/>
            <w:tcBorders>
              <w:top w:val="nil"/>
              <w:left w:val="single" w:color="auto" w:sz="8" w:space="0"/>
              <w:bottom w:val="single" w:color="000000" w:sz="8" w:space="0"/>
              <w:right w:val="single" w:color="auto" w:sz="8" w:space="0"/>
            </w:tcBorders>
            <w:shd w:val="clear" w:color="auto" w:fill="auto"/>
            <w:vAlign w:val="center"/>
          </w:tcPr>
          <w:p w14:paraId="5C901ED1">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A1决策机制</w:t>
            </w:r>
          </w:p>
        </w:tc>
        <w:tc>
          <w:tcPr>
            <w:tcW w:w="3402" w:type="dxa"/>
            <w:tcBorders>
              <w:top w:val="nil"/>
              <w:left w:val="nil"/>
              <w:bottom w:val="single" w:color="auto" w:sz="8" w:space="0"/>
              <w:right w:val="single" w:color="auto" w:sz="8" w:space="0"/>
            </w:tcBorders>
            <w:shd w:val="clear" w:color="auto" w:fill="auto"/>
            <w:vAlign w:val="center"/>
          </w:tcPr>
          <w:p w14:paraId="5D3C50D1">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A11决策制度的规范性</w:t>
            </w:r>
          </w:p>
        </w:tc>
        <w:tc>
          <w:tcPr>
            <w:tcW w:w="3686" w:type="dxa"/>
            <w:tcBorders>
              <w:top w:val="nil"/>
              <w:left w:val="nil"/>
              <w:bottom w:val="single" w:color="auto" w:sz="8" w:space="0"/>
              <w:right w:val="single" w:color="auto" w:sz="8" w:space="0"/>
            </w:tcBorders>
            <w:shd w:val="clear" w:color="auto" w:fill="auto"/>
            <w:vAlign w:val="center"/>
          </w:tcPr>
          <w:p w14:paraId="6CBDBAA8">
            <w:pPr>
              <w:widowControl/>
              <w:jc w:val="left"/>
              <w:rPr>
                <w:rFonts w:ascii="Times New Roman" w:hAnsi="Times New Roman" w:eastAsia="方正仿宋_GBK" w:cs="Times New Roman"/>
                <w:b/>
                <w:bCs/>
                <w:color w:val="000000"/>
                <w:kern w:val="0"/>
                <w:sz w:val="24"/>
                <w:szCs w:val="24"/>
              </w:rPr>
            </w:pPr>
            <w:r>
              <w:rPr>
                <w:rFonts w:ascii="Times New Roman" w:hAnsi="Times New Roman" w:eastAsia="方正仿宋_GBK" w:cs="Times New Roman"/>
                <w:b/>
                <w:bCs/>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06EA128F">
            <w:pPr>
              <w:widowControl/>
              <w:jc w:val="center"/>
              <w:rPr>
                <w:rFonts w:ascii="Times New Roman" w:hAnsi="Times New Roman" w:eastAsia="方正仿宋_GBK" w:cs="Times New Roman"/>
                <w:b/>
                <w:bCs/>
                <w:color w:val="000000"/>
                <w:kern w:val="0"/>
                <w:sz w:val="24"/>
                <w:szCs w:val="24"/>
              </w:rPr>
            </w:pPr>
          </w:p>
        </w:tc>
        <w:tc>
          <w:tcPr>
            <w:tcW w:w="851" w:type="dxa"/>
            <w:vMerge w:val="restart"/>
            <w:tcBorders>
              <w:top w:val="single" w:color="auto" w:sz="8" w:space="0"/>
              <w:left w:val="single" w:color="auto" w:sz="8" w:space="0"/>
              <w:right w:val="single" w:color="auto" w:sz="8" w:space="0"/>
            </w:tcBorders>
            <w:vAlign w:val="center"/>
          </w:tcPr>
          <w:p w14:paraId="4F341450">
            <w:pPr>
              <w:widowControl/>
              <w:jc w:val="center"/>
              <w:rPr>
                <w:rFonts w:ascii="Times New Roman" w:hAnsi="Times New Roman" w:eastAsia="方正仿宋_GBK" w:cs="Times New Roman"/>
                <w:b/>
                <w:bCs/>
                <w:color w:val="000000"/>
                <w:kern w:val="0"/>
                <w:sz w:val="24"/>
                <w:szCs w:val="24"/>
              </w:rPr>
            </w:pPr>
            <w:r>
              <w:rPr>
                <w:rFonts w:ascii="Times New Roman" w:hAnsi="Times New Roman" w:eastAsia="方正仿宋_GBK" w:cs="Times New Roman"/>
                <w:b/>
                <w:bCs/>
                <w:color w:val="000000"/>
                <w:kern w:val="0"/>
                <w:sz w:val="24"/>
                <w:szCs w:val="24"/>
              </w:rPr>
              <w:t>15分</w:t>
            </w:r>
          </w:p>
        </w:tc>
        <w:tc>
          <w:tcPr>
            <w:tcW w:w="992" w:type="dxa"/>
            <w:vMerge w:val="restart"/>
            <w:tcBorders>
              <w:top w:val="nil"/>
              <w:left w:val="single" w:color="auto" w:sz="8" w:space="0"/>
              <w:right w:val="single" w:color="auto" w:sz="8" w:space="0"/>
            </w:tcBorders>
            <w:shd w:val="clear" w:color="auto" w:fill="auto"/>
            <w:vAlign w:val="center"/>
          </w:tcPr>
          <w:p w14:paraId="5E6973DA">
            <w:pPr>
              <w:widowControl/>
              <w:jc w:val="center"/>
              <w:rPr>
                <w:rFonts w:ascii="Times New Roman" w:hAnsi="Times New Roman" w:eastAsia="方正仿宋_GBK" w:cs="Times New Roman"/>
                <w:b/>
                <w:bCs/>
                <w:color w:val="000000"/>
                <w:kern w:val="0"/>
                <w:sz w:val="24"/>
                <w:szCs w:val="24"/>
              </w:rPr>
            </w:pPr>
            <w:r>
              <w:rPr>
                <w:rFonts w:hint="eastAsia" w:ascii="Times New Roman" w:hAnsi="Times New Roman" w:eastAsia="方正仿宋_GBK" w:cs="Times New Roman"/>
                <w:b/>
                <w:bCs/>
                <w:color w:val="000000"/>
                <w:kern w:val="0"/>
                <w:sz w:val="24"/>
                <w:szCs w:val="24"/>
              </w:rPr>
              <w:t>15</w:t>
            </w:r>
            <w:r>
              <w:rPr>
                <w:rFonts w:ascii="Times New Roman" w:hAnsi="Times New Roman" w:eastAsia="方正仿宋_GBK" w:cs="Times New Roman"/>
                <w:b/>
                <w:bCs/>
                <w:color w:val="000000"/>
                <w:kern w:val="0"/>
                <w:sz w:val="24"/>
                <w:szCs w:val="24"/>
              </w:rPr>
              <w:t>分</w:t>
            </w:r>
          </w:p>
        </w:tc>
      </w:tr>
      <w:tr w14:paraId="770F095E">
        <w:tblPrEx>
          <w:tblCellMar>
            <w:top w:w="0" w:type="dxa"/>
            <w:left w:w="108" w:type="dxa"/>
            <w:bottom w:w="0" w:type="dxa"/>
            <w:right w:w="108" w:type="dxa"/>
          </w:tblCellMar>
        </w:tblPrEx>
        <w:trPr>
          <w:trHeight w:val="419" w:hRule="atLeast"/>
        </w:trPr>
        <w:tc>
          <w:tcPr>
            <w:tcW w:w="1266" w:type="dxa"/>
            <w:vMerge w:val="continue"/>
            <w:tcBorders>
              <w:top w:val="nil"/>
              <w:left w:val="single" w:color="auto" w:sz="8" w:space="0"/>
              <w:bottom w:val="single" w:color="000000" w:sz="8" w:space="0"/>
              <w:right w:val="single" w:color="auto" w:sz="8" w:space="0"/>
            </w:tcBorders>
            <w:vAlign w:val="center"/>
          </w:tcPr>
          <w:p w14:paraId="578F4A52">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14:paraId="50639CC2">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4ADF67C7">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A12决策流程的科学性</w:t>
            </w:r>
          </w:p>
        </w:tc>
        <w:tc>
          <w:tcPr>
            <w:tcW w:w="3686" w:type="dxa"/>
            <w:tcBorders>
              <w:top w:val="nil"/>
              <w:left w:val="nil"/>
              <w:bottom w:val="single" w:color="auto" w:sz="8" w:space="0"/>
              <w:right w:val="single" w:color="auto" w:sz="8" w:space="0"/>
            </w:tcBorders>
            <w:shd w:val="clear" w:color="auto" w:fill="auto"/>
            <w:vAlign w:val="center"/>
          </w:tcPr>
          <w:p w14:paraId="1AAE856C">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4B15E610">
            <w:pPr>
              <w:widowControl/>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62F67B17">
            <w:pPr>
              <w:widowControl/>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5172F046">
            <w:pPr>
              <w:widowControl/>
              <w:jc w:val="left"/>
              <w:rPr>
                <w:rFonts w:ascii="Times New Roman" w:hAnsi="Times New Roman" w:eastAsia="方正仿宋_GBK" w:cs="Times New Roman"/>
                <w:color w:val="000000"/>
                <w:kern w:val="0"/>
                <w:sz w:val="24"/>
                <w:szCs w:val="24"/>
              </w:rPr>
            </w:pPr>
          </w:p>
        </w:tc>
      </w:tr>
      <w:tr w14:paraId="0A49EAF6">
        <w:tblPrEx>
          <w:tblCellMar>
            <w:top w:w="0" w:type="dxa"/>
            <w:left w:w="108" w:type="dxa"/>
            <w:bottom w:w="0" w:type="dxa"/>
            <w:right w:w="108" w:type="dxa"/>
          </w:tblCellMar>
        </w:tblPrEx>
        <w:trPr>
          <w:trHeight w:val="396" w:hRule="atLeast"/>
        </w:trPr>
        <w:tc>
          <w:tcPr>
            <w:tcW w:w="1266" w:type="dxa"/>
            <w:vMerge w:val="continue"/>
            <w:tcBorders>
              <w:top w:val="nil"/>
              <w:left w:val="single" w:color="auto" w:sz="8" w:space="0"/>
              <w:bottom w:val="single" w:color="000000" w:sz="8" w:space="0"/>
              <w:right w:val="single" w:color="auto" w:sz="8" w:space="0"/>
            </w:tcBorders>
            <w:vAlign w:val="center"/>
          </w:tcPr>
          <w:p w14:paraId="785A13E4">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14:paraId="2F166D1A">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348AF0E2">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A13决策执行监督制衡机制</w:t>
            </w:r>
          </w:p>
        </w:tc>
        <w:tc>
          <w:tcPr>
            <w:tcW w:w="3686" w:type="dxa"/>
            <w:tcBorders>
              <w:top w:val="nil"/>
              <w:left w:val="nil"/>
              <w:bottom w:val="single" w:color="auto" w:sz="8" w:space="0"/>
              <w:right w:val="single" w:color="auto" w:sz="8" w:space="0"/>
            </w:tcBorders>
            <w:shd w:val="clear" w:color="auto" w:fill="auto"/>
            <w:vAlign w:val="center"/>
          </w:tcPr>
          <w:p w14:paraId="34869ACA">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10351FE1">
            <w:pPr>
              <w:widowControl/>
              <w:jc w:val="left"/>
              <w:rPr>
                <w:rFonts w:ascii="Times New Roman" w:hAnsi="Times New Roman" w:eastAsia="方正仿宋_GBK" w:cs="Times New Roman"/>
                <w:color w:val="000000"/>
                <w:kern w:val="0"/>
                <w:sz w:val="22"/>
              </w:rPr>
            </w:pPr>
          </w:p>
        </w:tc>
        <w:tc>
          <w:tcPr>
            <w:tcW w:w="851" w:type="dxa"/>
            <w:vMerge w:val="continue"/>
            <w:tcBorders>
              <w:left w:val="single" w:color="auto" w:sz="8" w:space="0"/>
              <w:right w:val="single" w:color="auto" w:sz="8" w:space="0"/>
            </w:tcBorders>
          </w:tcPr>
          <w:p w14:paraId="06FB4317">
            <w:pPr>
              <w:widowControl/>
              <w:jc w:val="left"/>
              <w:rPr>
                <w:rFonts w:ascii="Times New Roman" w:hAnsi="Times New Roman" w:eastAsia="方正仿宋_GBK" w:cs="Times New Roman"/>
                <w:color w:val="000000"/>
                <w:kern w:val="0"/>
                <w:sz w:val="22"/>
              </w:rPr>
            </w:pPr>
          </w:p>
        </w:tc>
        <w:tc>
          <w:tcPr>
            <w:tcW w:w="992" w:type="dxa"/>
            <w:vMerge w:val="continue"/>
            <w:tcBorders>
              <w:left w:val="single" w:color="auto" w:sz="8" w:space="0"/>
              <w:right w:val="single" w:color="auto" w:sz="8" w:space="0"/>
            </w:tcBorders>
            <w:shd w:val="clear" w:color="auto" w:fill="auto"/>
            <w:vAlign w:val="center"/>
          </w:tcPr>
          <w:p w14:paraId="26A289A1">
            <w:pPr>
              <w:widowControl/>
              <w:jc w:val="left"/>
              <w:rPr>
                <w:rFonts w:ascii="Times New Roman" w:hAnsi="Times New Roman" w:eastAsia="方正仿宋_GBK" w:cs="Times New Roman"/>
                <w:color w:val="000000"/>
                <w:kern w:val="0"/>
                <w:sz w:val="22"/>
              </w:rPr>
            </w:pPr>
          </w:p>
        </w:tc>
      </w:tr>
      <w:tr w14:paraId="37B55E68">
        <w:tblPrEx>
          <w:tblCellMar>
            <w:top w:w="0" w:type="dxa"/>
            <w:left w:w="108" w:type="dxa"/>
            <w:bottom w:w="0" w:type="dxa"/>
            <w:right w:w="108" w:type="dxa"/>
          </w:tblCellMar>
        </w:tblPrEx>
        <w:trPr>
          <w:trHeight w:val="402" w:hRule="atLeast"/>
        </w:trPr>
        <w:tc>
          <w:tcPr>
            <w:tcW w:w="1266" w:type="dxa"/>
            <w:vMerge w:val="continue"/>
            <w:tcBorders>
              <w:top w:val="nil"/>
              <w:left w:val="single" w:color="auto" w:sz="8" w:space="0"/>
              <w:bottom w:val="single" w:color="000000" w:sz="8" w:space="0"/>
              <w:right w:val="single" w:color="auto" w:sz="8" w:space="0"/>
            </w:tcBorders>
            <w:vAlign w:val="center"/>
          </w:tcPr>
          <w:p w14:paraId="36427B43">
            <w:pPr>
              <w:widowControl/>
              <w:jc w:val="left"/>
              <w:rPr>
                <w:rFonts w:ascii="Times New Roman" w:hAnsi="Times New Roman" w:eastAsia="方正仿宋_GBK" w:cs="Times New Roman"/>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14:paraId="00DC36FF">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A2中长期规划</w:t>
            </w:r>
          </w:p>
        </w:tc>
        <w:tc>
          <w:tcPr>
            <w:tcW w:w="3402" w:type="dxa"/>
            <w:tcBorders>
              <w:top w:val="nil"/>
              <w:left w:val="nil"/>
              <w:bottom w:val="single" w:color="auto" w:sz="8" w:space="0"/>
              <w:right w:val="single" w:color="auto" w:sz="8" w:space="0"/>
            </w:tcBorders>
            <w:shd w:val="clear" w:color="auto" w:fill="auto"/>
            <w:vAlign w:val="center"/>
          </w:tcPr>
          <w:p w14:paraId="742CC87C">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A21中长期规划明确性</w:t>
            </w:r>
          </w:p>
        </w:tc>
        <w:tc>
          <w:tcPr>
            <w:tcW w:w="3686" w:type="dxa"/>
            <w:tcBorders>
              <w:top w:val="nil"/>
              <w:left w:val="nil"/>
              <w:bottom w:val="single" w:color="auto" w:sz="8" w:space="0"/>
              <w:right w:val="single" w:color="auto" w:sz="8" w:space="0"/>
            </w:tcBorders>
            <w:shd w:val="clear" w:color="auto" w:fill="auto"/>
            <w:vAlign w:val="center"/>
          </w:tcPr>
          <w:p w14:paraId="1B522F85">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5A42037E">
            <w:pPr>
              <w:widowControl/>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6895911F">
            <w:pPr>
              <w:widowControl/>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1DCC0C4F">
            <w:pPr>
              <w:widowControl/>
              <w:jc w:val="left"/>
              <w:rPr>
                <w:rFonts w:ascii="Times New Roman" w:hAnsi="Times New Roman" w:eastAsia="方正仿宋_GBK" w:cs="Times New Roman"/>
                <w:color w:val="000000"/>
                <w:kern w:val="0"/>
                <w:sz w:val="24"/>
                <w:szCs w:val="24"/>
              </w:rPr>
            </w:pPr>
          </w:p>
        </w:tc>
      </w:tr>
      <w:tr w14:paraId="478F7F9B">
        <w:tblPrEx>
          <w:tblCellMar>
            <w:top w:w="0" w:type="dxa"/>
            <w:left w:w="108" w:type="dxa"/>
            <w:bottom w:w="0" w:type="dxa"/>
            <w:right w:w="108" w:type="dxa"/>
          </w:tblCellMar>
        </w:tblPrEx>
        <w:trPr>
          <w:trHeight w:val="408" w:hRule="atLeast"/>
        </w:trPr>
        <w:tc>
          <w:tcPr>
            <w:tcW w:w="1266" w:type="dxa"/>
            <w:vMerge w:val="continue"/>
            <w:tcBorders>
              <w:top w:val="nil"/>
              <w:left w:val="single" w:color="auto" w:sz="8" w:space="0"/>
              <w:bottom w:val="single" w:color="000000" w:sz="8" w:space="0"/>
              <w:right w:val="single" w:color="auto" w:sz="8" w:space="0"/>
            </w:tcBorders>
            <w:vAlign w:val="center"/>
          </w:tcPr>
          <w:p w14:paraId="6CA37720">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4874B3E8">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64F17E10">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A22中长期规划与部门职能的匹配性</w:t>
            </w:r>
          </w:p>
        </w:tc>
        <w:tc>
          <w:tcPr>
            <w:tcW w:w="3686" w:type="dxa"/>
            <w:tcBorders>
              <w:top w:val="nil"/>
              <w:left w:val="nil"/>
              <w:bottom w:val="single" w:color="auto" w:sz="8" w:space="0"/>
              <w:right w:val="single" w:color="auto" w:sz="8" w:space="0"/>
            </w:tcBorders>
            <w:shd w:val="clear" w:color="auto" w:fill="auto"/>
            <w:vAlign w:val="center"/>
          </w:tcPr>
          <w:p w14:paraId="19E7FCDC">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76477343">
            <w:pPr>
              <w:widowControl/>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03815516">
            <w:pPr>
              <w:widowControl/>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6FBD4863">
            <w:pPr>
              <w:widowControl/>
              <w:jc w:val="left"/>
              <w:rPr>
                <w:rFonts w:ascii="Times New Roman" w:hAnsi="Times New Roman" w:eastAsia="方正仿宋_GBK" w:cs="Times New Roman"/>
                <w:color w:val="000000"/>
                <w:kern w:val="0"/>
                <w:sz w:val="24"/>
                <w:szCs w:val="24"/>
              </w:rPr>
            </w:pPr>
          </w:p>
        </w:tc>
      </w:tr>
      <w:tr w14:paraId="777521F9">
        <w:tblPrEx>
          <w:tblCellMar>
            <w:top w:w="0" w:type="dxa"/>
            <w:left w:w="108" w:type="dxa"/>
            <w:bottom w:w="0" w:type="dxa"/>
            <w:right w:w="108" w:type="dxa"/>
          </w:tblCellMar>
        </w:tblPrEx>
        <w:trPr>
          <w:trHeight w:val="400" w:hRule="atLeast"/>
        </w:trPr>
        <w:tc>
          <w:tcPr>
            <w:tcW w:w="1266" w:type="dxa"/>
            <w:vMerge w:val="continue"/>
            <w:tcBorders>
              <w:top w:val="nil"/>
              <w:left w:val="single" w:color="auto" w:sz="8" w:space="0"/>
              <w:bottom w:val="single" w:color="000000" w:sz="8" w:space="0"/>
              <w:right w:val="single" w:color="auto" w:sz="8" w:space="0"/>
            </w:tcBorders>
            <w:vAlign w:val="center"/>
          </w:tcPr>
          <w:p w14:paraId="188F1005">
            <w:pPr>
              <w:widowControl/>
              <w:jc w:val="left"/>
              <w:rPr>
                <w:rFonts w:ascii="Times New Roman" w:hAnsi="Times New Roman" w:eastAsia="方正仿宋_GBK" w:cs="Times New Roman"/>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14:paraId="497185D1">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A3年度工作计划</w:t>
            </w:r>
          </w:p>
        </w:tc>
        <w:tc>
          <w:tcPr>
            <w:tcW w:w="3402" w:type="dxa"/>
            <w:tcBorders>
              <w:top w:val="nil"/>
              <w:left w:val="nil"/>
              <w:bottom w:val="single" w:color="auto" w:sz="8" w:space="0"/>
              <w:right w:val="single" w:color="auto" w:sz="8" w:space="0"/>
            </w:tcBorders>
            <w:shd w:val="clear" w:color="auto" w:fill="auto"/>
            <w:vAlign w:val="center"/>
          </w:tcPr>
          <w:p w14:paraId="1D216E0B">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A31年度工作计划明确性</w:t>
            </w:r>
          </w:p>
        </w:tc>
        <w:tc>
          <w:tcPr>
            <w:tcW w:w="3686" w:type="dxa"/>
            <w:tcBorders>
              <w:top w:val="nil"/>
              <w:left w:val="nil"/>
              <w:bottom w:val="single" w:color="auto" w:sz="8" w:space="0"/>
              <w:right w:val="single" w:color="auto" w:sz="8" w:space="0"/>
            </w:tcBorders>
            <w:shd w:val="clear" w:color="auto" w:fill="auto"/>
            <w:vAlign w:val="center"/>
          </w:tcPr>
          <w:p w14:paraId="7E592656">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7EDC7E18">
            <w:pPr>
              <w:widowControl/>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2E7B17AC">
            <w:pPr>
              <w:widowControl/>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3264820A">
            <w:pPr>
              <w:widowControl/>
              <w:jc w:val="left"/>
              <w:rPr>
                <w:rFonts w:ascii="Times New Roman" w:hAnsi="Times New Roman" w:eastAsia="方正仿宋_GBK" w:cs="Times New Roman"/>
                <w:color w:val="000000"/>
                <w:kern w:val="0"/>
                <w:sz w:val="24"/>
                <w:szCs w:val="24"/>
              </w:rPr>
            </w:pPr>
          </w:p>
        </w:tc>
      </w:tr>
      <w:tr w14:paraId="6C741952">
        <w:tblPrEx>
          <w:tblCellMar>
            <w:top w:w="0" w:type="dxa"/>
            <w:left w:w="108" w:type="dxa"/>
            <w:bottom w:w="0" w:type="dxa"/>
            <w:right w:w="108" w:type="dxa"/>
          </w:tblCellMar>
        </w:tblPrEx>
        <w:trPr>
          <w:trHeight w:val="406" w:hRule="atLeast"/>
        </w:trPr>
        <w:tc>
          <w:tcPr>
            <w:tcW w:w="1266" w:type="dxa"/>
            <w:vMerge w:val="continue"/>
            <w:tcBorders>
              <w:top w:val="nil"/>
              <w:left w:val="single" w:color="auto" w:sz="8" w:space="0"/>
              <w:bottom w:val="single" w:color="000000" w:sz="8" w:space="0"/>
              <w:right w:val="single" w:color="auto" w:sz="8" w:space="0"/>
            </w:tcBorders>
            <w:vAlign w:val="center"/>
          </w:tcPr>
          <w:p w14:paraId="140D0C2E">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2D59ABC7">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228EBF95">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A32年度工作计划与部门职能的匹配性</w:t>
            </w:r>
          </w:p>
        </w:tc>
        <w:tc>
          <w:tcPr>
            <w:tcW w:w="3686" w:type="dxa"/>
            <w:tcBorders>
              <w:top w:val="nil"/>
              <w:left w:val="nil"/>
              <w:bottom w:val="single" w:color="auto" w:sz="8" w:space="0"/>
              <w:right w:val="single" w:color="auto" w:sz="8" w:space="0"/>
            </w:tcBorders>
            <w:shd w:val="clear" w:color="auto" w:fill="auto"/>
            <w:vAlign w:val="center"/>
          </w:tcPr>
          <w:p w14:paraId="3269298D">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3DCA5E68">
            <w:pPr>
              <w:widowControl/>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2696C86D">
            <w:pPr>
              <w:widowControl/>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37D5F216">
            <w:pPr>
              <w:widowControl/>
              <w:jc w:val="left"/>
              <w:rPr>
                <w:rFonts w:ascii="Times New Roman" w:hAnsi="Times New Roman" w:eastAsia="方正仿宋_GBK" w:cs="Times New Roman"/>
                <w:color w:val="000000"/>
                <w:kern w:val="0"/>
                <w:sz w:val="24"/>
                <w:szCs w:val="24"/>
              </w:rPr>
            </w:pPr>
          </w:p>
        </w:tc>
      </w:tr>
      <w:tr w14:paraId="57F1B546">
        <w:tblPrEx>
          <w:tblCellMar>
            <w:top w:w="0" w:type="dxa"/>
            <w:left w:w="108" w:type="dxa"/>
            <w:bottom w:w="0" w:type="dxa"/>
            <w:right w:w="108" w:type="dxa"/>
          </w:tblCellMar>
        </w:tblPrEx>
        <w:trPr>
          <w:trHeight w:val="979" w:hRule="atLeast"/>
        </w:trPr>
        <w:tc>
          <w:tcPr>
            <w:tcW w:w="1266" w:type="dxa"/>
            <w:vMerge w:val="continue"/>
            <w:tcBorders>
              <w:top w:val="nil"/>
              <w:left w:val="single" w:color="auto" w:sz="8" w:space="0"/>
              <w:bottom w:val="single" w:color="000000" w:sz="8" w:space="0"/>
              <w:right w:val="single" w:color="auto" w:sz="8" w:space="0"/>
            </w:tcBorders>
            <w:vAlign w:val="center"/>
          </w:tcPr>
          <w:p w14:paraId="5C3D7F64">
            <w:pPr>
              <w:widowControl/>
              <w:jc w:val="left"/>
              <w:rPr>
                <w:rFonts w:ascii="Times New Roman" w:hAnsi="Times New Roman" w:eastAsia="方正仿宋_GBK" w:cs="Times New Roman"/>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14:paraId="75201ECD">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A4部门预算编制</w:t>
            </w:r>
          </w:p>
        </w:tc>
        <w:tc>
          <w:tcPr>
            <w:tcW w:w="3402" w:type="dxa"/>
            <w:tcBorders>
              <w:top w:val="nil"/>
              <w:left w:val="nil"/>
              <w:bottom w:val="single" w:color="auto" w:sz="8" w:space="0"/>
              <w:right w:val="single" w:color="auto" w:sz="8" w:space="0"/>
            </w:tcBorders>
            <w:shd w:val="clear" w:color="auto" w:fill="auto"/>
            <w:vAlign w:val="center"/>
          </w:tcPr>
          <w:p w14:paraId="403AEB30">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A41预算编制科学规范</w:t>
            </w:r>
          </w:p>
        </w:tc>
        <w:tc>
          <w:tcPr>
            <w:tcW w:w="3686" w:type="dxa"/>
            <w:tcBorders>
              <w:top w:val="nil"/>
              <w:left w:val="nil"/>
              <w:bottom w:val="single" w:color="auto" w:sz="8" w:space="0"/>
              <w:right w:val="single" w:color="auto" w:sz="8" w:space="0"/>
            </w:tcBorders>
            <w:shd w:val="clear" w:color="auto" w:fill="auto"/>
            <w:vAlign w:val="center"/>
          </w:tcPr>
          <w:p w14:paraId="218D3A43">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预算编制指“内部预算编制”，“科学”衡量制度设计，“规范”衡量流程执行</w:t>
            </w:r>
          </w:p>
        </w:tc>
        <w:tc>
          <w:tcPr>
            <w:tcW w:w="2551" w:type="dxa"/>
            <w:tcBorders>
              <w:top w:val="single" w:color="auto" w:sz="8" w:space="0"/>
              <w:left w:val="nil"/>
              <w:bottom w:val="single" w:color="auto" w:sz="8" w:space="0"/>
              <w:right w:val="single" w:color="auto" w:sz="8" w:space="0"/>
            </w:tcBorders>
          </w:tcPr>
          <w:p w14:paraId="4D25A6F5">
            <w:pPr>
              <w:widowControl/>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04E97F16">
            <w:pPr>
              <w:widowControl/>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5C772E2F">
            <w:pPr>
              <w:widowControl/>
              <w:jc w:val="left"/>
              <w:rPr>
                <w:rFonts w:ascii="Times New Roman" w:hAnsi="Times New Roman" w:eastAsia="方正仿宋_GBK" w:cs="Times New Roman"/>
                <w:color w:val="000000"/>
                <w:kern w:val="0"/>
                <w:sz w:val="24"/>
                <w:szCs w:val="24"/>
              </w:rPr>
            </w:pPr>
          </w:p>
        </w:tc>
      </w:tr>
      <w:tr w14:paraId="2E99D63D">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000000" w:sz="8" w:space="0"/>
              <w:right w:val="single" w:color="auto" w:sz="8" w:space="0"/>
            </w:tcBorders>
            <w:vAlign w:val="center"/>
          </w:tcPr>
          <w:p w14:paraId="570CC725">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00847045">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2FFE51FB">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A42预算编制与重点工作任务的匹配性</w:t>
            </w:r>
          </w:p>
        </w:tc>
        <w:tc>
          <w:tcPr>
            <w:tcW w:w="3686" w:type="dxa"/>
            <w:tcBorders>
              <w:top w:val="nil"/>
              <w:left w:val="nil"/>
              <w:bottom w:val="single" w:color="auto" w:sz="8" w:space="0"/>
              <w:right w:val="single" w:color="auto" w:sz="8" w:space="0"/>
            </w:tcBorders>
            <w:shd w:val="clear" w:color="auto" w:fill="auto"/>
            <w:vAlign w:val="center"/>
          </w:tcPr>
          <w:p w14:paraId="41034609">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预算编制指“内部预算编制”</w:t>
            </w:r>
          </w:p>
        </w:tc>
        <w:tc>
          <w:tcPr>
            <w:tcW w:w="2551" w:type="dxa"/>
            <w:tcBorders>
              <w:top w:val="single" w:color="auto" w:sz="8" w:space="0"/>
              <w:left w:val="nil"/>
              <w:bottom w:val="single" w:color="auto" w:sz="8" w:space="0"/>
              <w:right w:val="single" w:color="auto" w:sz="8" w:space="0"/>
            </w:tcBorders>
          </w:tcPr>
          <w:p w14:paraId="1CABFA8E">
            <w:pPr>
              <w:widowControl/>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bottom w:val="single" w:color="auto" w:sz="8" w:space="0"/>
              <w:right w:val="single" w:color="auto" w:sz="8" w:space="0"/>
            </w:tcBorders>
          </w:tcPr>
          <w:p w14:paraId="746EF1A2">
            <w:pPr>
              <w:widowControl/>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bottom w:val="single" w:color="auto" w:sz="8" w:space="0"/>
              <w:right w:val="single" w:color="auto" w:sz="8" w:space="0"/>
            </w:tcBorders>
            <w:shd w:val="clear" w:color="auto" w:fill="auto"/>
            <w:vAlign w:val="center"/>
          </w:tcPr>
          <w:p w14:paraId="4BD3EBCA">
            <w:pPr>
              <w:widowControl/>
              <w:jc w:val="left"/>
              <w:rPr>
                <w:rFonts w:ascii="Times New Roman" w:hAnsi="Times New Roman" w:eastAsia="方正仿宋_GBK" w:cs="Times New Roman"/>
                <w:color w:val="000000"/>
                <w:kern w:val="0"/>
                <w:sz w:val="24"/>
                <w:szCs w:val="24"/>
              </w:rPr>
            </w:pPr>
          </w:p>
        </w:tc>
      </w:tr>
      <w:tr w14:paraId="7B040438">
        <w:tblPrEx>
          <w:tblCellMar>
            <w:top w:w="0" w:type="dxa"/>
            <w:left w:w="108" w:type="dxa"/>
            <w:bottom w:w="0" w:type="dxa"/>
            <w:right w:w="108" w:type="dxa"/>
          </w:tblCellMar>
        </w:tblPrEx>
        <w:trPr>
          <w:trHeight w:val="497" w:hRule="atLeast"/>
        </w:trPr>
        <w:tc>
          <w:tcPr>
            <w:tcW w:w="1266" w:type="dxa"/>
            <w:vMerge w:val="restart"/>
            <w:tcBorders>
              <w:top w:val="nil"/>
              <w:left w:val="single" w:color="auto" w:sz="8" w:space="0"/>
              <w:bottom w:val="single" w:color="auto" w:sz="8" w:space="0"/>
              <w:right w:val="single" w:color="auto" w:sz="8" w:space="0"/>
            </w:tcBorders>
            <w:shd w:val="clear" w:color="auto" w:fill="auto"/>
            <w:noWrap/>
            <w:vAlign w:val="center"/>
          </w:tcPr>
          <w:p w14:paraId="4B245C35">
            <w:pPr>
              <w:widowControl/>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B部门管理（20分）</w:t>
            </w: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14:paraId="74AE9449">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B1预算执行</w:t>
            </w:r>
          </w:p>
        </w:tc>
        <w:tc>
          <w:tcPr>
            <w:tcW w:w="3402" w:type="dxa"/>
            <w:tcBorders>
              <w:top w:val="nil"/>
              <w:left w:val="nil"/>
              <w:bottom w:val="single" w:color="auto" w:sz="8" w:space="0"/>
              <w:right w:val="single" w:color="auto" w:sz="8" w:space="0"/>
            </w:tcBorders>
            <w:shd w:val="clear" w:color="auto" w:fill="auto"/>
            <w:vAlign w:val="center"/>
          </w:tcPr>
          <w:p w14:paraId="2765C111">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B11部门预算执行率</w:t>
            </w:r>
          </w:p>
        </w:tc>
        <w:tc>
          <w:tcPr>
            <w:tcW w:w="3686" w:type="dxa"/>
            <w:tcBorders>
              <w:top w:val="nil"/>
              <w:left w:val="nil"/>
              <w:bottom w:val="single" w:color="auto" w:sz="8" w:space="0"/>
              <w:right w:val="single" w:color="auto" w:sz="8" w:space="0"/>
            </w:tcBorders>
            <w:shd w:val="clear" w:color="auto" w:fill="auto"/>
            <w:vAlign w:val="center"/>
          </w:tcPr>
          <w:p w14:paraId="6C5F9F47">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与市财政局预算处考核口径一致</w:t>
            </w:r>
          </w:p>
        </w:tc>
        <w:tc>
          <w:tcPr>
            <w:tcW w:w="2551" w:type="dxa"/>
            <w:tcBorders>
              <w:top w:val="single" w:color="auto" w:sz="8" w:space="0"/>
              <w:left w:val="nil"/>
              <w:bottom w:val="single" w:color="auto" w:sz="8" w:space="0"/>
              <w:right w:val="single" w:color="auto" w:sz="8" w:space="0"/>
            </w:tcBorders>
          </w:tcPr>
          <w:p w14:paraId="28664930">
            <w:pPr>
              <w:widowControl/>
              <w:jc w:val="left"/>
              <w:rPr>
                <w:rFonts w:ascii="Times New Roman" w:hAnsi="Times New Roman" w:eastAsia="方正仿宋_GBK" w:cs="Times New Roman"/>
                <w:color w:val="000000"/>
                <w:kern w:val="0"/>
                <w:sz w:val="22"/>
              </w:rPr>
            </w:pPr>
          </w:p>
        </w:tc>
        <w:tc>
          <w:tcPr>
            <w:tcW w:w="851" w:type="dxa"/>
            <w:vMerge w:val="restart"/>
            <w:tcBorders>
              <w:top w:val="single" w:color="auto" w:sz="8" w:space="0"/>
              <w:left w:val="single" w:color="auto" w:sz="8" w:space="0"/>
              <w:right w:val="single" w:color="auto" w:sz="8" w:space="0"/>
            </w:tcBorders>
            <w:vAlign w:val="center"/>
          </w:tcPr>
          <w:p w14:paraId="19BD927F">
            <w:pPr>
              <w:widowControl/>
              <w:jc w:val="center"/>
              <w:rPr>
                <w:rFonts w:ascii="Times New Roman" w:hAnsi="Times New Roman" w:eastAsia="方正仿宋_GBK" w:cs="Times New Roman"/>
                <w:color w:val="000000"/>
                <w:kern w:val="0"/>
                <w:sz w:val="22"/>
              </w:rPr>
            </w:pPr>
          </w:p>
          <w:p w14:paraId="3B1AC24B">
            <w:pPr>
              <w:widowControl/>
              <w:jc w:val="center"/>
              <w:rPr>
                <w:rFonts w:ascii="Times New Roman" w:hAnsi="Times New Roman" w:eastAsia="方正仿宋_GBK" w:cs="Times New Roman"/>
                <w:color w:val="000000"/>
                <w:kern w:val="0"/>
                <w:sz w:val="22"/>
              </w:rPr>
            </w:pPr>
          </w:p>
          <w:p w14:paraId="5EDE8093">
            <w:pPr>
              <w:widowControl/>
              <w:jc w:val="center"/>
              <w:rPr>
                <w:rFonts w:ascii="Times New Roman" w:hAnsi="Times New Roman" w:eastAsia="方正仿宋_GBK" w:cs="Times New Roman"/>
                <w:color w:val="000000"/>
                <w:kern w:val="0"/>
                <w:sz w:val="22"/>
              </w:rPr>
            </w:pPr>
          </w:p>
          <w:p w14:paraId="152A5B2F">
            <w:pPr>
              <w:widowControl/>
              <w:jc w:val="center"/>
              <w:rPr>
                <w:rFonts w:ascii="Times New Roman" w:hAnsi="Times New Roman" w:eastAsia="方正仿宋_GBK" w:cs="Times New Roman"/>
                <w:color w:val="000000"/>
                <w:kern w:val="0"/>
                <w:sz w:val="22"/>
              </w:rPr>
            </w:pPr>
          </w:p>
          <w:p w14:paraId="1549A8F7">
            <w:pPr>
              <w:widowControl/>
              <w:jc w:val="center"/>
              <w:rPr>
                <w:rFonts w:ascii="Times New Roman" w:hAnsi="Times New Roman" w:eastAsia="方正仿宋_GBK" w:cs="Times New Roman"/>
                <w:color w:val="000000"/>
                <w:kern w:val="0"/>
                <w:sz w:val="22"/>
              </w:rPr>
            </w:pPr>
          </w:p>
          <w:p w14:paraId="4EDF7F5A">
            <w:pPr>
              <w:widowControl/>
              <w:jc w:val="center"/>
              <w:rPr>
                <w:rFonts w:ascii="Times New Roman" w:hAnsi="Times New Roman" w:eastAsia="方正仿宋_GBK" w:cs="Times New Roman"/>
                <w:color w:val="000000"/>
                <w:kern w:val="0"/>
                <w:sz w:val="22"/>
              </w:rPr>
            </w:pPr>
          </w:p>
          <w:p w14:paraId="30BD10C4">
            <w:pPr>
              <w:widowControl/>
              <w:jc w:val="center"/>
              <w:rPr>
                <w:rFonts w:ascii="Times New Roman" w:hAnsi="Times New Roman" w:eastAsia="方正仿宋_GBK" w:cs="Times New Roman"/>
                <w:color w:val="000000"/>
                <w:kern w:val="0"/>
                <w:sz w:val="22"/>
              </w:rPr>
            </w:pPr>
          </w:p>
          <w:p w14:paraId="27E553BE">
            <w:pPr>
              <w:widowControl/>
              <w:jc w:val="center"/>
              <w:rPr>
                <w:rFonts w:ascii="Times New Roman" w:hAnsi="Times New Roman" w:eastAsia="方正仿宋_GBK" w:cs="Times New Roman"/>
                <w:color w:val="000000"/>
                <w:kern w:val="0"/>
                <w:sz w:val="22"/>
              </w:rPr>
            </w:pPr>
          </w:p>
          <w:p w14:paraId="1197F236">
            <w:pPr>
              <w:widowControl/>
              <w:jc w:val="center"/>
              <w:rPr>
                <w:rFonts w:ascii="Times New Roman" w:hAnsi="Times New Roman" w:eastAsia="方正仿宋_GBK" w:cs="Times New Roman"/>
                <w:color w:val="000000"/>
                <w:kern w:val="0"/>
                <w:sz w:val="22"/>
              </w:rPr>
            </w:pPr>
          </w:p>
          <w:p w14:paraId="5B7A4B79">
            <w:pPr>
              <w:widowControl/>
              <w:jc w:val="center"/>
              <w:rPr>
                <w:rFonts w:ascii="Times New Roman" w:hAnsi="Times New Roman" w:eastAsia="方正仿宋_GBK" w:cs="Times New Roman"/>
                <w:color w:val="000000"/>
                <w:kern w:val="0"/>
                <w:sz w:val="22"/>
              </w:rPr>
            </w:pPr>
          </w:p>
          <w:p w14:paraId="5C2E2EBA">
            <w:pPr>
              <w:widowControl/>
              <w:jc w:val="center"/>
              <w:rPr>
                <w:rFonts w:ascii="Times New Roman" w:hAnsi="Times New Roman" w:eastAsia="方正仿宋_GBK" w:cs="Times New Roman"/>
                <w:color w:val="000000"/>
                <w:kern w:val="0"/>
                <w:sz w:val="22"/>
              </w:rPr>
            </w:pPr>
          </w:p>
          <w:p w14:paraId="3195986E">
            <w:pPr>
              <w:widowControl/>
              <w:jc w:val="center"/>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20分</w:t>
            </w:r>
          </w:p>
        </w:tc>
        <w:tc>
          <w:tcPr>
            <w:tcW w:w="992" w:type="dxa"/>
            <w:vMerge w:val="restart"/>
            <w:tcBorders>
              <w:top w:val="nil"/>
              <w:left w:val="single" w:color="auto" w:sz="8" w:space="0"/>
              <w:right w:val="single" w:color="auto" w:sz="8" w:space="0"/>
            </w:tcBorders>
            <w:shd w:val="clear" w:color="auto" w:fill="auto"/>
            <w:vAlign w:val="center"/>
          </w:tcPr>
          <w:p w14:paraId="7D2A0BDD">
            <w:pPr>
              <w:widowControl/>
              <w:jc w:val="left"/>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　</w:t>
            </w:r>
          </w:p>
          <w:p w14:paraId="1C22587B">
            <w:pPr>
              <w:widowControl/>
              <w:jc w:val="left"/>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　</w:t>
            </w:r>
          </w:p>
          <w:p w14:paraId="0AB7B58E">
            <w:pPr>
              <w:widowControl/>
              <w:jc w:val="left"/>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　</w:t>
            </w:r>
          </w:p>
          <w:p w14:paraId="0B209364">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p w14:paraId="3612BF92">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p w14:paraId="2520AB7C">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p w14:paraId="3BD7B03C">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p w14:paraId="7E10900C">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p w14:paraId="1ADA5B92">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p w14:paraId="3E691100">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p w14:paraId="595BFA4D">
            <w:pPr>
              <w:widowControl/>
              <w:jc w:val="left"/>
              <w:rPr>
                <w:rFonts w:ascii="Times New Roman" w:hAnsi="Times New Roman" w:eastAsia="方正仿宋_GBK" w:cs="Times New Roman"/>
                <w:color w:val="000000"/>
                <w:kern w:val="0"/>
                <w:sz w:val="24"/>
                <w:szCs w:val="24"/>
              </w:rPr>
            </w:pPr>
          </w:p>
          <w:p w14:paraId="3E675A87">
            <w:pPr>
              <w:widowControl/>
              <w:jc w:val="center"/>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4"/>
                <w:szCs w:val="24"/>
              </w:rPr>
              <w:t>　</w:t>
            </w:r>
            <w:r>
              <w:rPr>
                <w:rFonts w:ascii="Times New Roman" w:hAnsi="Times New Roman" w:eastAsia="方正仿宋_GBK" w:cs="Times New Roman"/>
                <w:color w:val="000000"/>
                <w:kern w:val="0"/>
                <w:sz w:val="22"/>
              </w:rPr>
              <w:t>20分</w:t>
            </w:r>
          </w:p>
        </w:tc>
      </w:tr>
      <w:tr w14:paraId="2D32189D">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3ADADCDD">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10E3D6D5">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5FCC6FD4">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B12专项资金执行率</w:t>
            </w:r>
          </w:p>
        </w:tc>
        <w:tc>
          <w:tcPr>
            <w:tcW w:w="3686" w:type="dxa"/>
            <w:tcBorders>
              <w:top w:val="nil"/>
              <w:left w:val="nil"/>
              <w:bottom w:val="single" w:color="auto" w:sz="8" w:space="0"/>
              <w:right w:val="single" w:color="auto" w:sz="8" w:space="0"/>
            </w:tcBorders>
            <w:shd w:val="clear" w:color="auto" w:fill="auto"/>
            <w:vAlign w:val="center"/>
          </w:tcPr>
          <w:p w14:paraId="3C3E9181">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与市财政局预算处考核口径一致</w:t>
            </w:r>
          </w:p>
        </w:tc>
        <w:tc>
          <w:tcPr>
            <w:tcW w:w="2551" w:type="dxa"/>
            <w:tcBorders>
              <w:top w:val="single" w:color="auto" w:sz="8" w:space="0"/>
              <w:left w:val="nil"/>
              <w:bottom w:val="single" w:color="auto" w:sz="8" w:space="0"/>
              <w:right w:val="single" w:color="auto" w:sz="8" w:space="0"/>
            </w:tcBorders>
          </w:tcPr>
          <w:p w14:paraId="31914F5F">
            <w:pPr>
              <w:ind w:firstLine="440"/>
              <w:jc w:val="left"/>
              <w:rPr>
                <w:rFonts w:ascii="Times New Roman" w:hAnsi="Times New Roman" w:eastAsia="方正仿宋_GBK" w:cs="Times New Roman"/>
                <w:color w:val="000000"/>
                <w:kern w:val="0"/>
                <w:sz w:val="22"/>
              </w:rPr>
            </w:pPr>
          </w:p>
        </w:tc>
        <w:tc>
          <w:tcPr>
            <w:tcW w:w="851" w:type="dxa"/>
            <w:vMerge w:val="continue"/>
            <w:tcBorders>
              <w:left w:val="single" w:color="auto" w:sz="8" w:space="0"/>
              <w:right w:val="single" w:color="auto" w:sz="8" w:space="0"/>
            </w:tcBorders>
          </w:tcPr>
          <w:p w14:paraId="1398BDA6">
            <w:pPr>
              <w:ind w:firstLine="440"/>
              <w:jc w:val="left"/>
              <w:rPr>
                <w:rFonts w:ascii="Times New Roman" w:hAnsi="Times New Roman" w:eastAsia="方正仿宋_GBK" w:cs="Times New Roman"/>
                <w:color w:val="000000"/>
                <w:kern w:val="0"/>
                <w:sz w:val="22"/>
              </w:rPr>
            </w:pPr>
          </w:p>
        </w:tc>
        <w:tc>
          <w:tcPr>
            <w:tcW w:w="992" w:type="dxa"/>
            <w:vMerge w:val="continue"/>
            <w:tcBorders>
              <w:left w:val="single" w:color="auto" w:sz="8" w:space="0"/>
              <w:right w:val="single" w:color="auto" w:sz="8" w:space="0"/>
            </w:tcBorders>
            <w:shd w:val="clear" w:color="auto" w:fill="auto"/>
            <w:vAlign w:val="center"/>
          </w:tcPr>
          <w:p w14:paraId="17CF1B9F">
            <w:pPr>
              <w:ind w:firstLine="440"/>
              <w:jc w:val="left"/>
              <w:rPr>
                <w:rFonts w:ascii="Times New Roman" w:hAnsi="Times New Roman" w:eastAsia="方正仿宋_GBK" w:cs="Times New Roman"/>
                <w:color w:val="000000"/>
                <w:kern w:val="0"/>
                <w:sz w:val="22"/>
              </w:rPr>
            </w:pPr>
          </w:p>
        </w:tc>
      </w:tr>
      <w:tr w14:paraId="5DCEC314">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7271E392">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62E4B213">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32275CF3">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B13“三公”经费控制率</w:t>
            </w:r>
          </w:p>
        </w:tc>
        <w:tc>
          <w:tcPr>
            <w:tcW w:w="3686" w:type="dxa"/>
            <w:tcBorders>
              <w:top w:val="nil"/>
              <w:left w:val="nil"/>
              <w:bottom w:val="single" w:color="auto" w:sz="8" w:space="0"/>
              <w:right w:val="single" w:color="auto" w:sz="8" w:space="0"/>
            </w:tcBorders>
            <w:shd w:val="clear" w:color="auto" w:fill="auto"/>
            <w:vAlign w:val="center"/>
          </w:tcPr>
          <w:p w14:paraId="3AEEED0D">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“三公”经费使用超支扣分，若不超支则不扣分</w:t>
            </w:r>
          </w:p>
        </w:tc>
        <w:tc>
          <w:tcPr>
            <w:tcW w:w="2551" w:type="dxa"/>
            <w:tcBorders>
              <w:top w:val="single" w:color="auto" w:sz="8" w:space="0"/>
              <w:left w:val="nil"/>
              <w:bottom w:val="single" w:color="auto" w:sz="8" w:space="0"/>
              <w:right w:val="single" w:color="auto" w:sz="8" w:space="0"/>
            </w:tcBorders>
          </w:tcPr>
          <w:p w14:paraId="1A4E4E85">
            <w:pPr>
              <w:ind w:firstLine="440"/>
              <w:jc w:val="left"/>
              <w:rPr>
                <w:rFonts w:ascii="Times New Roman" w:hAnsi="Times New Roman" w:eastAsia="方正仿宋_GBK" w:cs="Times New Roman"/>
                <w:color w:val="000000"/>
                <w:kern w:val="0"/>
                <w:sz w:val="22"/>
              </w:rPr>
            </w:pPr>
          </w:p>
        </w:tc>
        <w:tc>
          <w:tcPr>
            <w:tcW w:w="851" w:type="dxa"/>
            <w:vMerge w:val="continue"/>
            <w:tcBorders>
              <w:left w:val="single" w:color="auto" w:sz="8" w:space="0"/>
              <w:right w:val="single" w:color="auto" w:sz="8" w:space="0"/>
            </w:tcBorders>
          </w:tcPr>
          <w:p w14:paraId="18421073">
            <w:pPr>
              <w:ind w:firstLine="440"/>
              <w:jc w:val="left"/>
              <w:rPr>
                <w:rFonts w:ascii="Times New Roman" w:hAnsi="Times New Roman" w:eastAsia="方正仿宋_GBK" w:cs="Times New Roman"/>
                <w:color w:val="000000"/>
                <w:kern w:val="0"/>
                <w:sz w:val="22"/>
              </w:rPr>
            </w:pPr>
          </w:p>
        </w:tc>
        <w:tc>
          <w:tcPr>
            <w:tcW w:w="992" w:type="dxa"/>
            <w:vMerge w:val="continue"/>
            <w:tcBorders>
              <w:left w:val="single" w:color="auto" w:sz="8" w:space="0"/>
              <w:right w:val="single" w:color="auto" w:sz="8" w:space="0"/>
            </w:tcBorders>
            <w:shd w:val="clear" w:color="auto" w:fill="auto"/>
            <w:vAlign w:val="center"/>
          </w:tcPr>
          <w:p w14:paraId="64AC2BE0">
            <w:pPr>
              <w:ind w:firstLine="440"/>
              <w:jc w:val="left"/>
              <w:rPr>
                <w:rFonts w:ascii="Times New Roman" w:hAnsi="Times New Roman" w:eastAsia="方正仿宋_GBK" w:cs="Times New Roman"/>
                <w:color w:val="000000"/>
                <w:kern w:val="0"/>
                <w:sz w:val="22"/>
              </w:rPr>
            </w:pPr>
          </w:p>
        </w:tc>
      </w:tr>
      <w:tr w14:paraId="71207072">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7016E4E1">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470CFAF4">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3AFAA640">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xml:space="preserve">B14预决算信息公开情况 </w:t>
            </w:r>
          </w:p>
        </w:tc>
        <w:tc>
          <w:tcPr>
            <w:tcW w:w="3686" w:type="dxa"/>
            <w:tcBorders>
              <w:top w:val="nil"/>
              <w:left w:val="nil"/>
              <w:bottom w:val="single" w:color="auto" w:sz="8" w:space="0"/>
              <w:right w:val="single" w:color="auto" w:sz="8" w:space="0"/>
            </w:tcBorders>
            <w:shd w:val="clear" w:color="auto" w:fill="auto"/>
            <w:vAlign w:val="center"/>
          </w:tcPr>
          <w:p w14:paraId="075B5525">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预决算是否在“双平台”进行公开，内容和时限是否符合要求</w:t>
            </w:r>
          </w:p>
        </w:tc>
        <w:tc>
          <w:tcPr>
            <w:tcW w:w="2551" w:type="dxa"/>
            <w:tcBorders>
              <w:top w:val="single" w:color="auto" w:sz="8" w:space="0"/>
              <w:left w:val="nil"/>
              <w:bottom w:val="single" w:color="auto" w:sz="8" w:space="0"/>
              <w:right w:val="single" w:color="auto" w:sz="8" w:space="0"/>
            </w:tcBorders>
          </w:tcPr>
          <w:p w14:paraId="309829EC">
            <w:pPr>
              <w:widowControl/>
              <w:spacing w:line="240" w:lineRule="exact"/>
              <w:jc w:val="left"/>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4"/>
                <w:szCs w:val="24"/>
              </w:rPr>
              <w:t>提供截图或者照片进行佐证</w:t>
            </w:r>
          </w:p>
        </w:tc>
        <w:tc>
          <w:tcPr>
            <w:tcW w:w="851" w:type="dxa"/>
            <w:vMerge w:val="continue"/>
            <w:tcBorders>
              <w:left w:val="single" w:color="auto" w:sz="8" w:space="0"/>
              <w:right w:val="single" w:color="auto" w:sz="8" w:space="0"/>
            </w:tcBorders>
          </w:tcPr>
          <w:p w14:paraId="6EB71D2A">
            <w:pPr>
              <w:ind w:firstLine="440"/>
              <w:jc w:val="left"/>
              <w:rPr>
                <w:rFonts w:ascii="Times New Roman" w:hAnsi="Times New Roman" w:eastAsia="方正仿宋_GBK" w:cs="Times New Roman"/>
                <w:color w:val="000000"/>
                <w:kern w:val="0"/>
                <w:sz w:val="22"/>
              </w:rPr>
            </w:pPr>
          </w:p>
        </w:tc>
        <w:tc>
          <w:tcPr>
            <w:tcW w:w="992" w:type="dxa"/>
            <w:vMerge w:val="continue"/>
            <w:tcBorders>
              <w:left w:val="single" w:color="auto" w:sz="8" w:space="0"/>
              <w:right w:val="single" w:color="auto" w:sz="8" w:space="0"/>
            </w:tcBorders>
            <w:shd w:val="clear" w:color="auto" w:fill="auto"/>
            <w:vAlign w:val="center"/>
          </w:tcPr>
          <w:p w14:paraId="1DB49BDE">
            <w:pPr>
              <w:ind w:firstLine="440"/>
              <w:jc w:val="left"/>
              <w:rPr>
                <w:rFonts w:ascii="Times New Roman" w:hAnsi="Times New Roman" w:eastAsia="方正仿宋_GBK" w:cs="Times New Roman"/>
                <w:color w:val="000000"/>
                <w:kern w:val="0"/>
                <w:sz w:val="22"/>
              </w:rPr>
            </w:pPr>
          </w:p>
        </w:tc>
      </w:tr>
      <w:tr w14:paraId="21022698">
        <w:tblPrEx>
          <w:tblCellMar>
            <w:top w:w="0" w:type="dxa"/>
            <w:left w:w="108" w:type="dxa"/>
            <w:bottom w:w="0" w:type="dxa"/>
            <w:right w:w="108" w:type="dxa"/>
          </w:tblCellMar>
        </w:tblPrEx>
        <w:trPr>
          <w:trHeight w:val="445" w:hRule="atLeast"/>
        </w:trPr>
        <w:tc>
          <w:tcPr>
            <w:tcW w:w="1266" w:type="dxa"/>
            <w:vMerge w:val="continue"/>
            <w:tcBorders>
              <w:top w:val="nil"/>
              <w:left w:val="single" w:color="auto" w:sz="8" w:space="0"/>
              <w:bottom w:val="single" w:color="auto" w:sz="8" w:space="0"/>
              <w:right w:val="single" w:color="auto" w:sz="8" w:space="0"/>
            </w:tcBorders>
            <w:vAlign w:val="center"/>
          </w:tcPr>
          <w:p w14:paraId="6CBD8D9F">
            <w:pPr>
              <w:widowControl/>
              <w:jc w:val="left"/>
              <w:rPr>
                <w:rFonts w:ascii="Times New Roman" w:hAnsi="Times New Roman" w:eastAsia="方正仿宋_GBK" w:cs="Times New Roman"/>
                <w:color w:val="000000"/>
                <w:kern w:val="0"/>
                <w:sz w:val="24"/>
                <w:szCs w:val="24"/>
              </w:rPr>
            </w:pPr>
          </w:p>
        </w:tc>
        <w:tc>
          <w:tcPr>
            <w:tcW w:w="1623" w:type="dxa"/>
            <w:vMerge w:val="restart"/>
            <w:tcBorders>
              <w:top w:val="nil"/>
              <w:left w:val="single" w:color="auto" w:sz="8" w:space="0"/>
              <w:bottom w:val="single" w:color="000000" w:sz="8" w:space="0"/>
              <w:right w:val="single" w:color="auto" w:sz="8" w:space="0"/>
            </w:tcBorders>
            <w:shd w:val="clear" w:color="auto" w:fill="auto"/>
            <w:vAlign w:val="center"/>
          </w:tcPr>
          <w:p w14:paraId="7D44DAF2">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B2收支管理</w:t>
            </w:r>
          </w:p>
        </w:tc>
        <w:tc>
          <w:tcPr>
            <w:tcW w:w="3402" w:type="dxa"/>
            <w:tcBorders>
              <w:top w:val="nil"/>
              <w:left w:val="nil"/>
              <w:bottom w:val="single" w:color="auto" w:sz="8" w:space="0"/>
              <w:right w:val="single" w:color="auto" w:sz="8" w:space="0"/>
            </w:tcBorders>
            <w:shd w:val="clear" w:color="auto" w:fill="auto"/>
            <w:vAlign w:val="center"/>
          </w:tcPr>
          <w:p w14:paraId="65EFE1A5">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B21收支管理制度健全性</w:t>
            </w:r>
          </w:p>
        </w:tc>
        <w:tc>
          <w:tcPr>
            <w:tcW w:w="3686" w:type="dxa"/>
            <w:tcBorders>
              <w:top w:val="nil"/>
              <w:left w:val="nil"/>
              <w:bottom w:val="single" w:color="auto" w:sz="8" w:space="0"/>
              <w:right w:val="single" w:color="auto" w:sz="8" w:space="0"/>
            </w:tcBorders>
            <w:shd w:val="clear" w:color="auto" w:fill="auto"/>
            <w:vAlign w:val="center"/>
          </w:tcPr>
          <w:p w14:paraId="566C9B0C">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6D8F9076">
            <w:pPr>
              <w:ind w:firstLine="480"/>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0B900B4F">
            <w:pPr>
              <w:ind w:firstLine="480"/>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4B6B5E6E">
            <w:pPr>
              <w:ind w:firstLine="480"/>
              <w:jc w:val="left"/>
              <w:rPr>
                <w:rFonts w:ascii="Times New Roman" w:hAnsi="Times New Roman" w:eastAsia="方正仿宋_GBK" w:cs="Times New Roman"/>
                <w:color w:val="000000"/>
                <w:kern w:val="0"/>
                <w:sz w:val="24"/>
                <w:szCs w:val="24"/>
              </w:rPr>
            </w:pPr>
          </w:p>
        </w:tc>
      </w:tr>
      <w:tr w14:paraId="1FAEF1FC">
        <w:tblPrEx>
          <w:tblCellMar>
            <w:top w:w="0" w:type="dxa"/>
            <w:left w:w="108" w:type="dxa"/>
            <w:bottom w:w="0" w:type="dxa"/>
            <w:right w:w="108" w:type="dxa"/>
          </w:tblCellMar>
        </w:tblPrEx>
        <w:trPr>
          <w:trHeight w:val="408" w:hRule="atLeast"/>
        </w:trPr>
        <w:tc>
          <w:tcPr>
            <w:tcW w:w="1266" w:type="dxa"/>
            <w:vMerge w:val="continue"/>
            <w:tcBorders>
              <w:top w:val="nil"/>
              <w:left w:val="single" w:color="auto" w:sz="8" w:space="0"/>
              <w:bottom w:val="single" w:color="auto" w:sz="8" w:space="0"/>
              <w:right w:val="single" w:color="auto" w:sz="8" w:space="0"/>
            </w:tcBorders>
            <w:vAlign w:val="center"/>
          </w:tcPr>
          <w:p w14:paraId="502925F4">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14:paraId="66F576FC">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617B027F">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B22收支管理是否按制度执行</w:t>
            </w:r>
          </w:p>
        </w:tc>
        <w:tc>
          <w:tcPr>
            <w:tcW w:w="3686" w:type="dxa"/>
            <w:tcBorders>
              <w:top w:val="nil"/>
              <w:left w:val="nil"/>
              <w:bottom w:val="single" w:color="auto" w:sz="8" w:space="0"/>
              <w:right w:val="single" w:color="auto" w:sz="8" w:space="0"/>
            </w:tcBorders>
            <w:shd w:val="clear" w:color="auto" w:fill="auto"/>
            <w:vAlign w:val="center"/>
          </w:tcPr>
          <w:p w14:paraId="53C6FA2A">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76115427">
            <w:pPr>
              <w:ind w:firstLine="480"/>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398B8B32">
            <w:pPr>
              <w:ind w:firstLine="480"/>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2B9C476B">
            <w:pPr>
              <w:ind w:firstLine="480"/>
              <w:jc w:val="left"/>
              <w:rPr>
                <w:rFonts w:ascii="Times New Roman" w:hAnsi="Times New Roman" w:eastAsia="方正仿宋_GBK" w:cs="Times New Roman"/>
                <w:color w:val="000000"/>
                <w:kern w:val="0"/>
                <w:sz w:val="24"/>
                <w:szCs w:val="24"/>
              </w:rPr>
            </w:pPr>
          </w:p>
        </w:tc>
      </w:tr>
      <w:tr w14:paraId="068DBBA3">
        <w:tblPrEx>
          <w:tblCellMar>
            <w:top w:w="0" w:type="dxa"/>
            <w:left w:w="108" w:type="dxa"/>
            <w:bottom w:w="0" w:type="dxa"/>
            <w:right w:w="108" w:type="dxa"/>
          </w:tblCellMar>
        </w:tblPrEx>
        <w:trPr>
          <w:trHeight w:val="400" w:hRule="atLeast"/>
        </w:trPr>
        <w:tc>
          <w:tcPr>
            <w:tcW w:w="1266" w:type="dxa"/>
            <w:vMerge w:val="continue"/>
            <w:tcBorders>
              <w:top w:val="nil"/>
              <w:left w:val="single" w:color="auto" w:sz="8" w:space="0"/>
              <w:bottom w:val="single" w:color="auto" w:sz="8" w:space="0"/>
              <w:right w:val="single" w:color="auto" w:sz="8" w:space="0"/>
            </w:tcBorders>
            <w:vAlign w:val="center"/>
          </w:tcPr>
          <w:p w14:paraId="2BD7BD4D">
            <w:pPr>
              <w:widowControl/>
              <w:jc w:val="left"/>
              <w:rPr>
                <w:rFonts w:ascii="Times New Roman" w:hAnsi="Times New Roman" w:eastAsia="方正仿宋_GBK" w:cs="Times New Roman"/>
                <w:color w:val="000000"/>
                <w:kern w:val="0"/>
                <w:sz w:val="24"/>
                <w:szCs w:val="24"/>
              </w:rPr>
            </w:pPr>
          </w:p>
        </w:tc>
        <w:tc>
          <w:tcPr>
            <w:tcW w:w="1623" w:type="dxa"/>
            <w:vMerge w:val="restart"/>
            <w:tcBorders>
              <w:top w:val="nil"/>
              <w:left w:val="single" w:color="auto" w:sz="8" w:space="0"/>
              <w:bottom w:val="single" w:color="000000" w:sz="8" w:space="0"/>
              <w:right w:val="single" w:color="auto" w:sz="8" w:space="0"/>
            </w:tcBorders>
            <w:shd w:val="clear" w:color="auto" w:fill="auto"/>
            <w:vAlign w:val="center"/>
          </w:tcPr>
          <w:p w14:paraId="34C55E27">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B3资产管理</w:t>
            </w:r>
          </w:p>
        </w:tc>
        <w:tc>
          <w:tcPr>
            <w:tcW w:w="3402" w:type="dxa"/>
            <w:tcBorders>
              <w:top w:val="nil"/>
              <w:left w:val="nil"/>
              <w:bottom w:val="single" w:color="auto" w:sz="8" w:space="0"/>
              <w:right w:val="single" w:color="auto" w:sz="8" w:space="0"/>
            </w:tcBorders>
            <w:shd w:val="clear" w:color="auto" w:fill="auto"/>
            <w:vAlign w:val="center"/>
          </w:tcPr>
          <w:p w14:paraId="03A832B0">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B31资产管理制度健全性</w:t>
            </w:r>
          </w:p>
        </w:tc>
        <w:tc>
          <w:tcPr>
            <w:tcW w:w="3686" w:type="dxa"/>
            <w:tcBorders>
              <w:top w:val="nil"/>
              <w:left w:val="nil"/>
              <w:bottom w:val="single" w:color="auto" w:sz="8" w:space="0"/>
              <w:right w:val="single" w:color="auto" w:sz="8" w:space="0"/>
            </w:tcBorders>
            <w:shd w:val="clear" w:color="auto" w:fill="auto"/>
            <w:vAlign w:val="center"/>
          </w:tcPr>
          <w:p w14:paraId="247D5527">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46DE30CC">
            <w:pPr>
              <w:ind w:firstLine="480"/>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2D6DAD80">
            <w:pPr>
              <w:ind w:firstLine="480"/>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0935379A">
            <w:pPr>
              <w:ind w:firstLine="480"/>
              <w:jc w:val="left"/>
              <w:rPr>
                <w:rFonts w:ascii="Times New Roman" w:hAnsi="Times New Roman" w:eastAsia="方正仿宋_GBK" w:cs="Times New Roman"/>
                <w:color w:val="000000"/>
                <w:kern w:val="0"/>
                <w:sz w:val="24"/>
                <w:szCs w:val="24"/>
              </w:rPr>
            </w:pPr>
          </w:p>
        </w:tc>
      </w:tr>
      <w:tr w14:paraId="625F24F9">
        <w:tblPrEx>
          <w:tblCellMar>
            <w:top w:w="0" w:type="dxa"/>
            <w:left w:w="108" w:type="dxa"/>
            <w:bottom w:w="0" w:type="dxa"/>
            <w:right w:w="108" w:type="dxa"/>
          </w:tblCellMar>
        </w:tblPrEx>
        <w:trPr>
          <w:trHeight w:val="406" w:hRule="atLeast"/>
        </w:trPr>
        <w:tc>
          <w:tcPr>
            <w:tcW w:w="1266" w:type="dxa"/>
            <w:vMerge w:val="continue"/>
            <w:tcBorders>
              <w:top w:val="nil"/>
              <w:left w:val="single" w:color="auto" w:sz="8" w:space="0"/>
              <w:bottom w:val="single" w:color="auto" w:sz="8" w:space="0"/>
              <w:right w:val="single" w:color="auto" w:sz="8" w:space="0"/>
            </w:tcBorders>
            <w:vAlign w:val="center"/>
          </w:tcPr>
          <w:p w14:paraId="5349C9F9">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14:paraId="2412FBF2">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41669B44">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B32资产管理是否按制度执行</w:t>
            </w:r>
          </w:p>
        </w:tc>
        <w:tc>
          <w:tcPr>
            <w:tcW w:w="3686" w:type="dxa"/>
            <w:tcBorders>
              <w:top w:val="nil"/>
              <w:left w:val="nil"/>
              <w:bottom w:val="single" w:color="auto" w:sz="8" w:space="0"/>
              <w:right w:val="single" w:color="auto" w:sz="8" w:space="0"/>
            </w:tcBorders>
            <w:shd w:val="clear" w:color="auto" w:fill="auto"/>
            <w:vAlign w:val="center"/>
          </w:tcPr>
          <w:p w14:paraId="61CE751C">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6B948103">
            <w:pPr>
              <w:ind w:firstLine="480"/>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25D3D3E4">
            <w:pPr>
              <w:ind w:firstLine="480"/>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115AE4DB">
            <w:pPr>
              <w:ind w:firstLine="480"/>
              <w:jc w:val="left"/>
              <w:rPr>
                <w:rFonts w:ascii="Times New Roman" w:hAnsi="Times New Roman" w:eastAsia="方正仿宋_GBK" w:cs="Times New Roman"/>
                <w:color w:val="000000"/>
                <w:kern w:val="0"/>
                <w:sz w:val="24"/>
                <w:szCs w:val="24"/>
              </w:rPr>
            </w:pPr>
          </w:p>
        </w:tc>
      </w:tr>
      <w:tr w14:paraId="466319A2">
        <w:tblPrEx>
          <w:tblCellMar>
            <w:top w:w="0" w:type="dxa"/>
            <w:left w:w="108" w:type="dxa"/>
            <w:bottom w:w="0" w:type="dxa"/>
            <w:right w:w="108" w:type="dxa"/>
          </w:tblCellMar>
        </w:tblPrEx>
        <w:trPr>
          <w:trHeight w:val="412" w:hRule="atLeast"/>
        </w:trPr>
        <w:tc>
          <w:tcPr>
            <w:tcW w:w="1266" w:type="dxa"/>
            <w:vMerge w:val="continue"/>
            <w:tcBorders>
              <w:top w:val="nil"/>
              <w:left w:val="single" w:color="auto" w:sz="8" w:space="0"/>
              <w:bottom w:val="single" w:color="auto" w:sz="8" w:space="0"/>
              <w:right w:val="single" w:color="auto" w:sz="8" w:space="0"/>
            </w:tcBorders>
            <w:vAlign w:val="center"/>
          </w:tcPr>
          <w:p w14:paraId="4D75E29D">
            <w:pPr>
              <w:widowControl/>
              <w:jc w:val="left"/>
              <w:rPr>
                <w:rFonts w:ascii="Times New Roman" w:hAnsi="Times New Roman" w:eastAsia="方正仿宋_GBK" w:cs="Times New Roman"/>
                <w:color w:val="000000"/>
                <w:kern w:val="0"/>
                <w:sz w:val="24"/>
                <w:szCs w:val="24"/>
              </w:rPr>
            </w:pPr>
          </w:p>
        </w:tc>
        <w:tc>
          <w:tcPr>
            <w:tcW w:w="1623" w:type="dxa"/>
            <w:vMerge w:val="restart"/>
            <w:tcBorders>
              <w:top w:val="nil"/>
              <w:left w:val="single" w:color="auto" w:sz="8" w:space="0"/>
              <w:bottom w:val="single" w:color="000000" w:sz="8" w:space="0"/>
              <w:right w:val="single" w:color="auto" w:sz="8" w:space="0"/>
            </w:tcBorders>
            <w:shd w:val="clear" w:color="auto" w:fill="auto"/>
            <w:vAlign w:val="center"/>
          </w:tcPr>
          <w:p w14:paraId="68E3B788">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B4政府采购管理</w:t>
            </w:r>
          </w:p>
        </w:tc>
        <w:tc>
          <w:tcPr>
            <w:tcW w:w="3402" w:type="dxa"/>
            <w:tcBorders>
              <w:top w:val="nil"/>
              <w:left w:val="nil"/>
              <w:bottom w:val="single" w:color="auto" w:sz="8" w:space="0"/>
              <w:right w:val="single" w:color="auto" w:sz="8" w:space="0"/>
            </w:tcBorders>
            <w:shd w:val="clear" w:color="auto" w:fill="auto"/>
            <w:vAlign w:val="center"/>
          </w:tcPr>
          <w:p w14:paraId="5E09D2B4">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B41政府采购管理制度健全性</w:t>
            </w:r>
          </w:p>
        </w:tc>
        <w:tc>
          <w:tcPr>
            <w:tcW w:w="3686" w:type="dxa"/>
            <w:tcBorders>
              <w:top w:val="nil"/>
              <w:left w:val="nil"/>
              <w:bottom w:val="single" w:color="auto" w:sz="8" w:space="0"/>
              <w:right w:val="single" w:color="auto" w:sz="8" w:space="0"/>
            </w:tcBorders>
            <w:shd w:val="clear" w:color="auto" w:fill="auto"/>
            <w:vAlign w:val="center"/>
          </w:tcPr>
          <w:p w14:paraId="3EAF89F9">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2B79AD8F">
            <w:pPr>
              <w:ind w:firstLine="480"/>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281BF80D">
            <w:pPr>
              <w:ind w:firstLine="480"/>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766B62D1">
            <w:pPr>
              <w:ind w:firstLine="480"/>
              <w:jc w:val="left"/>
              <w:rPr>
                <w:rFonts w:ascii="Times New Roman" w:hAnsi="Times New Roman" w:eastAsia="方正仿宋_GBK" w:cs="Times New Roman"/>
                <w:color w:val="000000"/>
                <w:kern w:val="0"/>
                <w:sz w:val="24"/>
                <w:szCs w:val="24"/>
              </w:rPr>
            </w:pPr>
          </w:p>
        </w:tc>
      </w:tr>
      <w:tr w14:paraId="499CE032">
        <w:tblPrEx>
          <w:tblCellMar>
            <w:top w:w="0" w:type="dxa"/>
            <w:left w:w="108" w:type="dxa"/>
            <w:bottom w:w="0" w:type="dxa"/>
            <w:right w:w="108" w:type="dxa"/>
          </w:tblCellMar>
        </w:tblPrEx>
        <w:trPr>
          <w:trHeight w:val="404" w:hRule="atLeast"/>
        </w:trPr>
        <w:tc>
          <w:tcPr>
            <w:tcW w:w="1266" w:type="dxa"/>
            <w:vMerge w:val="continue"/>
            <w:tcBorders>
              <w:top w:val="nil"/>
              <w:left w:val="single" w:color="auto" w:sz="8" w:space="0"/>
              <w:bottom w:val="single" w:color="auto" w:sz="8" w:space="0"/>
              <w:right w:val="single" w:color="auto" w:sz="8" w:space="0"/>
            </w:tcBorders>
            <w:vAlign w:val="center"/>
          </w:tcPr>
          <w:p w14:paraId="1D2DFE6B">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14:paraId="25D3D14D">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1300C30C">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B42政府采购管理是否按制度执行</w:t>
            </w:r>
          </w:p>
        </w:tc>
        <w:tc>
          <w:tcPr>
            <w:tcW w:w="3686" w:type="dxa"/>
            <w:tcBorders>
              <w:top w:val="nil"/>
              <w:left w:val="nil"/>
              <w:bottom w:val="single" w:color="auto" w:sz="8" w:space="0"/>
              <w:right w:val="single" w:color="auto" w:sz="8" w:space="0"/>
            </w:tcBorders>
            <w:shd w:val="clear" w:color="auto" w:fill="auto"/>
            <w:vAlign w:val="center"/>
          </w:tcPr>
          <w:p w14:paraId="5D095622">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31D324A5">
            <w:pPr>
              <w:ind w:firstLine="480"/>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516D2B98">
            <w:pPr>
              <w:ind w:firstLine="480"/>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530A70C7">
            <w:pPr>
              <w:ind w:firstLine="480"/>
              <w:jc w:val="left"/>
              <w:rPr>
                <w:rFonts w:ascii="Times New Roman" w:hAnsi="Times New Roman" w:eastAsia="方正仿宋_GBK" w:cs="Times New Roman"/>
                <w:color w:val="000000"/>
                <w:kern w:val="0"/>
                <w:sz w:val="24"/>
                <w:szCs w:val="24"/>
              </w:rPr>
            </w:pPr>
          </w:p>
        </w:tc>
      </w:tr>
      <w:tr w14:paraId="7112964D">
        <w:tblPrEx>
          <w:tblCellMar>
            <w:top w:w="0" w:type="dxa"/>
            <w:left w:w="108" w:type="dxa"/>
            <w:bottom w:w="0" w:type="dxa"/>
            <w:right w:w="108" w:type="dxa"/>
          </w:tblCellMar>
        </w:tblPrEx>
        <w:trPr>
          <w:trHeight w:val="410" w:hRule="atLeast"/>
        </w:trPr>
        <w:tc>
          <w:tcPr>
            <w:tcW w:w="1266" w:type="dxa"/>
            <w:vMerge w:val="continue"/>
            <w:tcBorders>
              <w:top w:val="nil"/>
              <w:left w:val="single" w:color="auto" w:sz="8" w:space="0"/>
              <w:bottom w:val="single" w:color="auto" w:sz="8" w:space="0"/>
              <w:right w:val="single" w:color="auto" w:sz="8" w:space="0"/>
            </w:tcBorders>
            <w:vAlign w:val="center"/>
          </w:tcPr>
          <w:p w14:paraId="275B6F6E">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000000" w:sz="8" w:space="0"/>
              <w:right w:val="single" w:color="auto" w:sz="8" w:space="0"/>
            </w:tcBorders>
            <w:vAlign w:val="center"/>
          </w:tcPr>
          <w:p w14:paraId="6FA78CE7">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4BB2111D">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B52建设项目管理是否按制度执行</w:t>
            </w:r>
          </w:p>
        </w:tc>
        <w:tc>
          <w:tcPr>
            <w:tcW w:w="3686" w:type="dxa"/>
            <w:tcBorders>
              <w:top w:val="nil"/>
              <w:left w:val="single" w:color="auto" w:sz="8" w:space="0"/>
              <w:bottom w:val="single" w:color="000000" w:sz="8" w:space="0"/>
              <w:right w:val="single" w:color="auto" w:sz="8" w:space="0"/>
            </w:tcBorders>
            <w:vAlign w:val="center"/>
          </w:tcPr>
          <w:p w14:paraId="393A6475">
            <w:pPr>
              <w:widowControl/>
              <w:jc w:val="left"/>
              <w:rPr>
                <w:rFonts w:ascii="Times New Roman" w:hAnsi="Times New Roman" w:eastAsia="方正仿宋_GBK"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14:paraId="27989D55">
            <w:pPr>
              <w:ind w:firstLine="480"/>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1A906786">
            <w:pPr>
              <w:ind w:firstLine="480"/>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56084B71">
            <w:pPr>
              <w:ind w:firstLine="480"/>
              <w:jc w:val="left"/>
              <w:rPr>
                <w:rFonts w:ascii="Times New Roman" w:hAnsi="Times New Roman" w:eastAsia="方正仿宋_GBK" w:cs="Times New Roman"/>
                <w:color w:val="000000"/>
                <w:kern w:val="0"/>
                <w:sz w:val="24"/>
                <w:szCs w:val="24"/>
              </w:rPr>
            </w:pPr>
          </w:p>
        </w:tc>
      </w:tr>
      <w:tr w14:paraId="0B78DC88">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113CD6EE">
            <w:pPr>
              <w:widowControl/>
              <w:jc w:val="left"/>
              <w:rPr>
                <w:rFonts w:ascii="Times New Roman" w:hAnsi="Times New Roman" w:eastAsia="方正仿宋_GBK" w:cs="Times New Roman"/>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14:paraId="2D9E4144">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B5内部控制管理</w:t>
            </w:r>
          </w:p>
        </w:tc>
        <w:tc>
          <w:tcPr>
            <w:tcW w:w="3402" w:type="dxa"/>
            <w:tcBorders>
              <w:top w:val="nil"/>
              <w:left w:val="nil"/>
              <w:bottom w:val="single" w:color="auto" w:sz="8" w:space="0"/>
              <w:right w:val="single" w:color="auto" w:sz="8" w:space="0"/>
            </w:tcBorders>
            <w:shd w:val="clear" w:color="auto" w:fill="auto"/>
            <w:vAlign w:val="center"/>
          </w:tcPr>
          <w:p w14:paraId="4A6BD8DB">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B61内部控制建设情况</w:t>
            </w:r>
          </w:p>
        </w:tc>
        <w:tc>
          <w:tcPr>
            <w:tcW w:w="3686" w:type="dxa"/>
            <w:tcBorders>
              <w:top w:val="nil"/>
              <w:left w:val="nil"/>
              <w:bottom w:val="single" w:color="auto" w:sz="8" w:space="0"/>
              <w:right w:val="single" w:color="auto" w:sz="8" w:space="0"/>
            </w:tcBorders>
            <w:shd w:val="clear" w:color="auto" w:fill="auto"/>
            <w:vAlign w:val="center"/>
          </w:tcPr>
          <w:p w14:paraId="6B1C8778">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vAlign w:val="center"/>
          </w:tcPr>
          <w:p w14:paraId="193B68D4">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是否有内部控制制度落实在手册等文本上</w:t>
            </w:r>
          </w:p>
        </w:tc>
        <w:tc>
          <w:tcPr>
            <w:tcW w:w="851" w:type="dxa"/>
            <w:vMerge w:val="continue"/>
            <w:tcBorders>
              <w:left w:val="single" w:color="auto" w:sz="8" w:space="0"/>
              <w:right w:val="single" w:color="auto" w:sz="8" w:space="0"/>
            </w:tcBorders>
          </w:tcPr>
          <w:p w14:paraId="16D1E955">
            <w:pPr>
              <w:ind w:firstLine="480"/>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2A2230B1">
            <w:pPr>
              <w:ind w:firstLine="480"/>
              <w:jc w:val="left"/>
              <w:rPr>
                <w:rFonts w:ascii="Times New Roman" w:hAnsi="Times New Roman" w:eastAsia="方正仿宋_GBK" w:cs="Times New Roman"/>
                <w:color w:val="000000"/>
                <w:kern w:val="0"/>
                <w:sz w:val="24"/>
                <w:szCs w:val="24"/>
              </w:rPr>
            </w:pPr>
          </w:p>
        </w:tc>
      </w:tr>
      <w:tr w14:paraId="293C0AC1">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03054057">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2F732F2D">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4E9354B2">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B62内部控制执行情况</w:t>
            </w:r>
          </w:p>
        </w:tc>
        <w:tc>
          <w:tcPr>
            <w:tcW w:w="3686" w:type="dxa"/>
            <w:tcBorders>
              <w:top w:val="nil"/>
              <w:left w:val="nil"/>
              <w:bottom w:val="single" w:color="auto" w:sz="8" w:space="0"/>
              <w:right w:val="single" w:color="auto" w:sz="8" w:space="0"/>
            </w:tcBorders>
            <w:shd w:val="clear" w:color="auto" w:fill="auto"/>
            <w:vAlign w:val="center"/>
          </w:tcPr>
          <w:p w14:paraId="0A71F192">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vAlign w:val="center"/>
          </w:tcPr>
          <w:p w14:paraId="3C7BCD0E">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通过重新执行程序评价内控是否有效</w:t>
            </w:r>
          </w:p>
        </w:tc>
        <w:tc>
          <w:tcPr>
            <w:tcW w:w="851" w:type="dxa"/>
            <w:vMerge w:val="continue"/>
            <w:tcBorders>
              <w:left w:val="single" w:color="auto" w:sz="8" w:space="0"/>
              <w:right w:val="single" w:color="auto" w:sz="8" w:space="0"/>
            </w:tcBorders>
          </w:tcPr>
          <w:p w14:paraId="591CAB13">
            <w:pPr>
              <w:ind w:firstLine="480"/>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6F1F2676">
            <w:pPr>
              <w:ind w:firstLine="480"/>
              <w:jc w:val="left"/>
              <w:rPr>
                <w:rFonts w:ascii="Times New Roman" w:hAnsi="Times New Roman" w:eastAsia="方正仿宋_GBK" w:cs="Times New Roman"/>
                <w:color w:val="000000"/>
                <w:kern w:val="0"/>
                <w:sz w:val="24"/>
                <w:szCs w:val="24"/>
              </w:rPr>
            </w:pPr>
          </w:p>
        </w:tc>
      </w:tr>
      <w:tr w14:paraId="1E7CDCDC">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1675BC50">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5383B971">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03DB2EBB">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B63内部控制监督评价</w:t>
            </w:r>
          </w:p>
        </w:tc>
        <w:tc>
          <w:tcPr>
            <w:tcW w:w="3686" w:type="dxa"/>
            <w:tcBorders>
              <w:top w:val="nil"/>
              <w:left w:val="nil"/>
              <w:bottom w:val="single" w:color="auto" w:sz="8" w:space="0"/>
              <w:right w:val="single" w:color="auto" w:sz="8" w:space="0"/>
            </w:tcBorders>
            <w:shd w:val="clear" w:color="auto" w:fill="auto"/>
            <w:vAlign w:val="center"/>
          </w:tcPr>
          <w:p w14:paraId="6C380735">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vAlign w:val="center"/>
          </w:tcPr>
          <w:p w14:paraId="534399E7">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是否有单位内部内控评价报告</w:t>
            </w:r>
          </w:p>
        </w:tc>
        <w:tc>
          <w:tcPr>
            <w:tcW w:w="851" w:type="dxa"/>
            <w:vMerge w:val="continue"/>
            <w:tcBorders>
              <w:left w:val="single" w:color="auto" w:sz="8" w:space="0"/>
              <w:right w:val="single" w:color="auto" w:sz="8" w:space="0"/>
            </w:tcBorders>
          </w:tcPr>
          <w:p w14:paraId="6D62B48F">
            <w:pPr>
              <w:ind w:firstLine="480"/>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62E371A4">
            <w:pPr>
              <w:ind w:firstLine="480"/>
              <w:jc w:val="left"/>
              <w:rPr>
                <w:rFonts w:ascii="Times New Roman" w:hAnsi="Times New Roman" w:eastAsia="方正仿宋_GBK" w:cs="Times New Roman"/>
                <w:color w:val="000000"/>
                <w:kern w:val="0"/>
                <w:sz w:val="24"/>
                <w:szCs w:val="24"/>
              </w:rPr>
            </w:pPr>
          </w:p>
        </w:tc>
      </w:tr>
      <w:tr w14:paraId="55B75DFF">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4BCFCE07">
            <w:pPr>
              <w:widowControl/>
              <w:jc w:val="left"/>
              <w:rPr>
                <w:rFonts w:ascii="Times New Roman" w:hAnsi="Times New Roman" w:eastAsia="方正仿宋_GBK" w:cs="Times New Roman"/>
                <w:color w:val="000000"/>
                <w:kern w:val="0"/>
                <w:sz w:val="24"/>
                <w:szCs w:val="24"/>
              </w:rPr>
            </w:pPr>
          </w:p>
        </w:tc>
        <w:tc>
          <w:tcPr>
            <w:tcW w:w="1623" w:type="dxa"/>
            <w:vMerge w:val="restart"/>
            <w:tcBorders>
              <w:top w:val="nil"/>
              <w:left w:val="single" w:color="auto" w:sz="8" w:space="0"/>
              <w:bottom w:val="single" w:color="auto" w:sz="8" w:space="0"/>
              <w:right w:val="single" w:color="auto" w:sz="8" w:space="0"/>
            </w:tcBorders>
            <w:shd w:val="clear" w:color="auto" w:fill="auto"/>
            <w:vAlign w:val="center"/>
          </w:tcPr>
          <w:p w14:paraId="2703AC5F">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B6预算绩效管理</w:t>
            </w:r>
          </w:p>
        </w:tc>
        <w:tc>
          <w:tcPr>
            <w:tcW w:w="3402" w:type="dxa"/>
            <w:tcBorders>
              <w:top w:val="nil"/>
              <w:left w:val="nil"/>
              <w:bottom w:val="single" w:color="auto" w:sz="8" w:space="0"/>
              <w:right w:val="single" w:color="auto" w:sz="8" w:space="0"/>
            </w:tcBorders>
            <w:shd w:val="clear" w:color="auto" w:fill="auto"/>
            <w:vAlign w:val="center"/>
          </w:tcPr>
          <w:p w14:paraId="1ADE3683">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B71组织管理情况</w:t>
            </w:r>
          </w:p>
        </w:tc>
        <w:tc>
          <w:tcPr>
            <w:tcW w:w="3686" w:type="dxa"/>
            <w:tcBorders>
              <w:top w:val="nil"/>
              <w:left w:val="nil"/>
              <w:bottom w:val="single" w:color="auto" w:sz="8" w:space="0"/>
              <w:right w:val="single" w:color="auto" w:sz="8" w:space="0"/>
            </w:tcBorders>
            <w:shd w:val="clear" w:color="auto" w:fill="auto"/>
            <w:vAlign w:val="center"/>
          </w:tcPr>
          <w:p w14:paraId="5EE7F0EF">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主要包含制度建设、职能配置、分行业的指标体系</w:t>
            </w:r>
          </w:p>
        </w:tc>
        <w:tc>
          <w:tcPr>
            <w:tcW w:w="2551" w:type="dxa"/>
            <w:tcBorders>
              <w:top w:val="single" w:color="auto" w:sz="8" w:space="0"/>
              <w:left w:val="nil"/>
              <w:bottom w:val="single" w:color="auto" w:sz="8" w:space="0"/>
              <w:right w:val="single" w:color="auto" w:sz="8" w:space="0"/>
            </w:tcBorders>
          </w:tcPr>
          <w:p w14:paraId="2FCA5273">
            <w:pPr>
              <w:ind w:firstLine="480"/>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right w:val="single" w:color="auto" w:sz="8" w:space="0"/>
            </w:tcBorders>
          </w:tcPr>
          <w:p w14:paraId="2D784E68">
            <w:pPr>
              <w:ind w:firstLine="480"/>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34981E86">
            <w:pPr>
              <w:ind w:firstLine="480"/>
              <w:jc w:val="left"/>
              <w:rPr>
                <w:rFonts w:ascii="Times New Roman" w:hAnsi="Times New Roman" w:eastAsia="方正仿宋_GBK" w:cs="Times New Roman"/>
                <w:color w:val="000000"/>
                <w:kern w:val="0"/>
                <w:sz w:val="24"/>
                <w:szCs w:val="24"/>
              </w:rPr>
            </w:pPr>
          </w:p>
        </w:tc>
      </w:tr>
      <w:tr w14:paraId="4BE7D837">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4CAA39EE">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3C35A046">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257DB7CB">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B72工作开展情况</w:t>
            </w:r>
          </w:p>
        </w:tc>
        <w:tc>
          <w:tcPr>
            <w:tcW w:w="3686" w:type="dxa"/>
            <w:tcBorders>
              <w:top w:val="nil"/>
              <w:left w:val="nil"/>
              <w:bottom w:val="single" w:color="auto" w:sz="8" w:space="0"/>
              <w:right w:val="single" w:color="auto" w:sz="8" w:space="0"/>
            </w:tcBorders>
            <w:shd w:val="clear" w:color="auto" w:fill="auto"/>
            <w:vAlign w:val="center"/>
          </w:tcPr>
          <w:p w14:paraId="3E295B77">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包含事前评估、目标管理、跟踪评价、自评价和整改落实</w:t>
            </w:r>
          </w:p>
        </w:tc>
        <w:tc>
          <w:tcPr>
            <w:tcW w:w="2551" w:type="dxa"/>
            <w:tcBorders>
              <w:top w:val="single" w:color="auto" w:sz="8" w:space="0"/>
              <w:left w:val="nil"/>
              <w:bottom w:val="single" w:color="auto" w:sz="8" w:space="0"/>
              <w:right w:val="single" w:color="auto" w:sz="8" w:space="0"/>
            </w:tcBorders>
          </w:tcPr>
          <w:p w14:paraId="29536531">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考察政策（项目）是否有5个报告</w:t>
            </w:r>
          </w:p>
        </w:tc>
        <w:tc>
          <w:tcPr>
            <w:tcW w:w="851" w:type="dxa"/>
            <w:vMerge w:val="continue"/>
            <w:tcBorders>
              <w:left w:val="single" w:color="auto" w:sz="8" w:space="0"/>
              <w:right w:val="single" w:color="auto" w:sz="8" w:space="0"/>
            </w:tcBorders>
          </w:tcPr>
          <w:p w14:paraId="1DD6D327">
            <w:pPr>
              <w:ind w:firstLine="480"/>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right w:val="single" w:color="auto" w:sz="8" w:space="0"/>
            </w:tcBorders>
            <w:shd w:val="clear" w:color="auto" w:fill="auto"/>
            <w:vAlign w:val="center"/>
          </w:tcPr>
          <w:p w14:paraId="44495933">
            <w:pPr>
              <w:ind w:firstLine="480"/>
              <w:jc w:val="left"/>
              <w:rPr>
                <w:rFonts w:ascii="Times New Roman" w:hAnsi="Times New Roman" w:eastAsia="方正仿宋_GBK" w:cs="Times New Roman"/>
                <w:color w:val="000000"/>
                <w:kern w:val="0"/>
                <w:sz w:val="24"/>
                <w:szCs w:val="24"/>
              </w:rPr>
            </w:pPr>
          </w:p>
        </w:tc>
      </w:tr>
      <w:tr w14:paraId="1F031040">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19DFDC1B">
            <w:pPr>
              <w:widowControl/>
              <w:jc w:val="left"/>
              <w:rPr>
                <w:rFonts w:ascii="Times New Roman" w:hAnsi="Times New Roman" w:eastAsia="方正仿宋_GBK" w:cs="Times New Roman"/>
                <w:color w:val="000000"/>
                <w:kern w:val="0"/>
                <w:sz w:val="24"/>
                <w:szCs w:val="24"/>
              </w:rPr>
            </w:pPr>
          </w:p>
        </w:tc>
        <w:tc>
          <w:tcPr>
            <w:tcW w:w="1623" w:type="dxa"/>
            <w:vMerge w:val="continue"/>
            <w:tcBorders>
              <w:top w:val="nil"/>
              <w:left w:val="single" w:color="auto" w:sz="8" w:space="0"/>
              <w:bottom w:val="single" w:color="auto" w:sz="8" w:space="0"/>
              <w:right w:val="single" w:color="auto" w:sz="8" w:space="0"/>
            </w:tcBorders>
            <w:vAlign w:val="center"/>
          </w:tcPr>
          <w:p w14:paraId="70797A74">
            <w:pPr>
              <w:widowControl/>
              <w:jc w:val="left"/>
              <w:rPr>
                <w:rFonts w:ascii="Times New Roman" w:hAnsi="Times New Roman" w:eastAsia="方正仿宋_GBK" w:cs="Times New Roman"/>
                <w:color w:val="000000"/>
                <w:kern w:val="0"/>
                <w:sz w:val="24"/>
                <w:szCs w:val="24"/>
              </w:rPr>
            </w:pPr>
          </w:p>
        </w:tc>
        <w:tc>
          <w:tcPr>
            <w:tcW w:w="3402" w:type="dxa"/>
            <w:tcBorders>
              <w:top w:val="nil"/>
              <w:left w:val="nil"/>
              <w:bottom w:val="single" w:color="auto" w:sz="8" w:space="0"/>
              <w:right w:val="single" w:color="auto" w:sz="8" w:space="0"/>
            </w:tcBorders>
            <w:shd w:val="clear" w:color="auto" w:fill="auto"/>
            <w:vAlign w:val="center"/>
          </w:tcPr>
          <w:p w14:paraId="50C99272">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B73绩效信息公开</w:t>
            </w:r>
          </w:p>
        </w:tc>
        <w:tc>
          <w:tcPr>
            <w:tcW w:w="3686" w:type="dxa"/>
            <w:tcBorders>
              <w:top w:val="nil"/>
              <w:left w:val="nil"/>
              <w:bottom w:val="single" w:color="auto" w:sz="8" w:space="0"/>
              <w:right w:val="single" w:color="auto" w:sz="8" w:space="0"/>
            </w:tcBorders>
            <w:shd w:val="clear" w:color="auto" w:fill="auto"/>
            <w:vAlign w:val="center"/>
          </w:tcPr>
          <w:p w14:paraId="1B074F60">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绩效信息是否按照规定的内容和时限在“双平台”进行公开</w:t>
            </w:r>
          </w:p>
        </w:tc>
        <w:tc>
          <w:tcPr>
            <w:tcW w:w="2551" w:type="dxa"/>
            <w:tcBorders>
              <w:top w:val="single" w:color="auto" w:sz="8" w:space="0"/>
              <w:left w:val="nil"/>
              <w:bottom w:val="single" w:color="auto" w:sz="8" w:space="0"/>
              <w:right w:val="single" w:color="auto" w:sz="8" w:space="0"/>
            </w:tcBorders>
          </w:tcPr>
          <w:p w14:paraId="16BC6A12">
            <w:pPr>
              <w:widowControl/>
              <w:jc w:val="left"/>
              <w:rPr>
                <w:rFonts w:ascii="Times New Roman" w:hAnsi="Times New Roman" w:eastAsia="方正仿宋_GBK" w:cs="Times New Roman"/>
                <w:color w:val="000000"/>
                <w:kern w:val="0"/>
                <w:sz w:val="24"/>
                <w:szCs w:val="24"/>
              </w:rPr>
            </w:pPr>
          </w:p>
        </w:tc>
        <w:tc>
          <w:tcPr>
            <w:tcW w:w="851" w:type="dxa"/>
            <w:vMerge w:val="continue"/>
            <w:tcBorders>
              <w:left w:val="single" w:color="auto" w:sz="8" w:space="0"/>
              <w:bottom w:val="single" w:color="auto" w:sz="4" w:space="0"/>
              <w:right w:val="single" w:color="auto" w:sz="8" w:space="0"/>
            </w:tcBorders>
          </w:tcPr>
          <w:p w14:paraId="4C3D322D">
            <w:pPr>
              <w:widowControl/>
              <w:jc w:val="left"/>
              <w:rPr>
                <w:rFonts w:ascii="Times New Roman" w:hAnsi="Times New Roman" w:eastAsia="方正仿宋_GBK" w:cs="Times New Roman"/>
                <w:color w:val="000000"/>
                <w:kern w:val="0"/>
                <w:sz w:val="24"/>
                <w:szCs w:val="24"/>
              </w:rPr>
            </w:pPr>
          </w:p>
        </w:tc>
        <w:tc>
          <w:tcPr>
            <w:tcW w:w="992" w:type="dxa"/>
            <w:vMerge w:val="continue"/>
            <w:tcBorders>
              <w:left w:val="single" w:color="auto" w:sz="8" w:space="0"/>
              <w:bottom w:val="single" w:color="auto" w:sz="4" w:space="0"/>
              <w:right w:val="single" w:color="auto" w:sz="8" w:space="0"/>
            </w:tcBorders>
            <w:shd w:val="clear" w:color="auto" w:fill="auto"/>
            <w:vAlign w:val="center"/>
          </w:tcPr>
          <w:p w14:paraId="6B8CAB73">
            <w:pPr>
              <w:widowControl/>
              <w:jc w:val="left"/>
              <w:rPr>
                <w:rFonts w:ascii="Times New Roman" w:hAnsi="Times New Roman" w:eastAsia="方正仿宋_GBK" w:cs="Times New Roman"/>
                <w:color w:val="000000"/>
                <w:kern w:val="0"/>
                <w:sz w:val="24"/>
                <w:szCs w:val="24"/>
              </w:rPr>
            </w:pPr>
          </w:p>
        </w:tc>
      </w:tr>
      <w:tr w14:paraId="3262F52B">
        <w:tblPrEx>
          <w:tblCellMar>
            <w:top w:w="0" w:type="dxa"/>
            <w:left w:w="108" w:type="dxa"/>
            <w:bottom w:w="0" w:type="dxa"/>
            <w:right w:w="108" w:type="dxa"/>
          </w:tblCellMar>
        </w:tblPrEx>
        <w:trPr>
          <w:trHeight w:val="600" w:hRule="atLeast"/>
        </w:trPr>
        <w:tc>
          <w:tcPr>
            <w:tcW w:w="1266" w:type="dxa"/>
            <w:vMerge w:val="restart"/>
            <w:tcBorders>
              <w:top w:val="nil"/>
              <w:left w:val="single" w:color="auto" w:sz="8" w:space="0"/>
              <w:right w:val="single" w:color="auto" w:sz="8" w:space="0"/>
            </w:tcBorders>
            <w:shd w:val="clear" w:color="auto" w:fill="auto"/>
            <w:vAlign w:val="center"/>
          </w:tcPr>
          <w:p w14:paraId="144D6E4A">
            <w:pPr>
              <w:widowControl/>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C部门履职（30分）</w:t>
            </w:r>
          </w:p>
        </w:tc>
        <w:tc>
          <w:tcPr>
            <w:tcW w:w="1623" w:type="dxa"/>
            <w:tcBorders>
              <w:top w:val="nil"/>
              <w:left w:val="nil"/>
              <w:bottom w:val="single" w:color="auto" w:sz="8" w:space="0"/>
              <w:right w:val="single" w:color="auto" w:sz="8" w:space="0"/>
            </w:tcBorders>
            <w:shd w:val="clear" w:color="auto" w:fill="auto"/>
            <w:vAlign w:val="center"/>
          </w:tcPr>
          <w:p w14:paraId="711BC462">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C1重点工作数量完成率</w:t>
            </w:r>
          </w:p>
        </w:tc>
        <w:tc>
          <w:tcPr>
            <w:tcW w:w="3402" w:type="dxa"/>
            <w:tcBorders>
              <w:top w:val="nil"/>
              <w:left w:val="nil"/>
              <w:bottom w:val="single" w:color="auto" w:sz="8" w:space="0"/>
              <w:right w:val="single" w:color="auto" w:sz="8" w:space="0"/>
            </w:tcBorders>
            <w:shd w:val="clear" w:color="auto" w:fill="auto"/>
            <w:vAlign w:val="center"/>
          </w:tcPr>
          <w:p w14:paraId="7E10B695">
            <w:pPr>
              <w:widowControl/>
              <w:spacing w:line="240" w:lineRule="exact"/>
              <w:jc w:val="lef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服务国家总体外交</w:t>
            </w:r>
          </w:p>
        </w:tc>
        <w:tc>
          <w:tcPr>
            <w:tcW w:w="3686" w:type="dxa"/>
            <w:tcBorders>
              <w:top w:val="nil"/>
              <w:left w:val="nil"/>
              <w:bottom w:val="single" w:color="auto" w:sz="8" w:space="0"/>
              <w:right w:val="single" w:color="auto" w:sz="8" w:space="0"/>
            </w:tcBorders>
            <w:shd w:val="clear" w:color="auto" w:fill="auto"/>
            <w:vAlign w:val="center"/>
          </w:tcPr>
          <w:p w14:paraId="187093E0">
            <w:pPr>
              <w:widowControl/>
              <w:jc w:val="lef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按照国家外交布局开展对外交流</w:t>
            </w:r>
          </w:p>
        </w:tc>
        <w:tc>
          <w:tcPr>
            <w:tcW w:w="2551" w:type="dxa"/>
            <w:tcBorders>
              <w:top w:val="single" w:color="auto" w:sz="8" w:space="0"/>
              <w:left w:val="nil"/>
              <w:bottom w:val="single" w:color="auto" w:sz="8" w:space="0"/>
              <w:right w:val="single" w:color="auto" w:sz="4" w:space="0"/>
            </w:tcBorders>
          </w:tcPr>
          <w:p w14:paraId="3E080233">
            <w:pPr>
              <w:jc w:val="left"/>
              <w:rPr>
                <w:rFonts w:ascii="Times New Roman" w:hAnsi="Times New Roman" w:eastAsia="方正仿宋_GBK" w:cs="Times New Roman"/>
                <w:color w:val="000000"/>
                <w:kern w:val="0"/>
                <w:sz w:val="24"/>
                <w:szCs w:val="24"/>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738BF426">
            <w:pPr>
              <w:rPr>
                <w:rFonts w:ascii="Times New Roman" w:hAnsi="Times New Roman" w:eastAsia="方正仿宋_GBK" w:cs="Times New Roman"/>
                <w:color w:val="000000"/>
                <w:kern w:val="0"/>
                <w:sz w:val="24"/>
                <w:szCs w:val="24"/>
              </w:rPr>
            </w:pPr>
            <w:r>
              <w:rPr>
                <w:rFonts w:hint="eastAsia" w:ascii="Times New Roman" w:hAnsi="Times New Roman" w:eastAsia="方正仿宋_GBK" w:cs="Times New Roman"/>
                <w:color w:val="000000"/>
                <w:kern w:val="0"/>
                <w:sz w:val="24"/>
                <w:szCs w:val="24"/>
                <w:lang w:val="en-US" w:eastAsia="zh-CN"/>
              </w:rPr>
              <w:t>10</w:t>
            </w:r>
            <w:r>
              <w:rPr>
                <w:rFonts w:ascii="Times New Roman" w:hAnsi="Times New Roman" w:eastAsia="方正仿宋_GBK" w:cs="Times New Roman"/>
                <w:color w:val="000000"/>
                <w:kern w:val="0"/>
                <w:sz w:val="24"/>
                <w:szCs w:val="24"/>
              </w:rPr>
              <w:t>分</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2B9450">
            <w:pPr>
              <w:jc w:val="left"/>
              <w:rPr>
                <w:rFonts w:ascii="Times New Roman" w:hAnsi="Times New Roman" w:eastAsia="方正仿宋_GBK" w:cs="Times New Roman"/>
                <w:color w:val="000000"/>
                <w:kern w:val="0"/>
                <w:sz w:val="24"/>
                <w:szCs w:val="24"/>
              </w:rPr>
            </w:pPr>
            <w:r>
              <w:rPr>
                <w:rFonts w:hint="eastAsia" w:ascii="Times New Roman" w:hAnsi="Times New Roman" w:eastAsia="方正仿宋_GBK" w:cs="Times New Roman"/>
                <w:color w:val="000000"/>
                <w:kern w:val="0"/>
                <w:sz w:val="24"/>
                <w:szCs w:val="24"/>
                <w:lang w:val="en-US" w:eastAsia="zh-CN"/>
              </w:rPr>
              <w:t>10</w:t>
            </w:r>
            <w:r>
              <w:rPr>
                <w:rFonts w:ascii="Times New Roman" w:hAnsi="Times New Roman" w:eastAsia="方正仿宋_GBK" w:cs="Times New Roman"/>
                <w:color w:val="000000"/>
                <w:kern w:val="0"/>
                <w:sz w:val="24"/>
                <w:szCs w:val="24"/>
              </w:rPr>
              <w:t>分</w:t>
            </w:r>
          </w:p>
        </w:tc>
      </w:tr>
      <w:tr w14:paraId="2E0D856F">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51C870A7">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42876BB6">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C2重点工作质量达标率</w:t>
            </w:r>
          </w:p>
        </w:tc>
        <w:tc>
          <w:tcPr>
            <w:tcW w:w="3402" w:type="dxa"/>
            <w:tcBorders>
              <w:top w:val="nil"/>
              <w:left w:val="nil"/>
              <w:bottom w:val="single" w:color="auto" w:sz="8" w:space="0"/>
              <w:right w:val="single" w:color="auto" w:sz="8" w:space="0"/>
            </w:tcBorders>
            <w:shd w:val="clear" w:color="auto" w:fill="auto"/>
            <w:vAlign w:val="center"/>
          </w:tcPr>
          <w:p w14:paraId="5674CFB8">
            <w:pPr>
              <w:widowControl/>
              <w:spacing w:line="240" w:lineRule="exact"/>
              <w:jc w:val="left"/>
              <w:rPr>
                <w:rFonts w:ascii="Times New Roman" w:hAnsi="Times New Roman" w:eastAsia="方正仿宋_GBK" w:cs="Times New Roman"/>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14:paraId="02DC9BC9">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4" w:space="0"/>
            </w:tcBorders>
          </w:tcPr>
          <w:p w14:paraId="09293E1F">
            <w:pPr>
              <w:widowControl/>
              <w:spacing w:line="240" w:lineRule="exact"/>
              <w:jc w:val="left"/>
              <w:rPr>
                <w:rFonts w:ascii="Times New Roman" w:hAnsi="Times New Roman" w:eastAsia="方正仿宋_GBK" w:cs="Times New Roman"/>
                <w:color w:val="000000"/>
                <w:kern w:val="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tcPr>
          <w:p w14:paraId="139A9A7C">
            <w:pPr>
              <w:ind w:firstLine="480"/>
              <w:jc w:val="left"/>
              <w:rPr>
                <w:rFonts w:ascii="Times New Roman" w:hAnsi="Times New Roman" w:eastAsia="方正仿宋_GBK" w:cs="Times New Roman"/>
                <w:color w:val="000000"/>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6ED41E">
            <w:pPr>
              <w:ind w:firstLine="480"/>
              <w:jc w:val="left"/>
              <w:rPr>
                <w:rFonts w:ascii="Times New Roman" w:hAnsi="Times New Roman" w:eastAsia="方正仿宋_GBK" w:cs="Times New Roman"/>
                <w:color w:val="000000"/>
                <w:kern w:val="0"/>
                <w:sz w:val="24"/>
                <w:szCs w:val="24"/>
              </w:rPr>
            </w:pPr>
          </w:p>
        </w:tc>
      </w:tr>
      <w:tr w14:paraId="70881FF1">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5BCF0DBA">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123CC2AD">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C3重点工作完成及时率</w:t>
            </w:r>
          </w:p>
        </w:tc>
        <w:tc>
          <w:tcPr>
            <w:tcW w:w="3402" w:type="dxa"/>
            <w:tcBorders>
              <w:top w:val="nil"/>
              <w:left w:val="nil"/>
              <w:bottom w:val="single" w:color="auto" w:sz="8" w:space="0"/>
              <w:right w:val="single" w:color="auto" w:sz="8" w:space="0"/>
            </w:tcBorders>
            <w:shd w:val="clear" w:color="auto" w:fill="auto"/>
            <w:vAlign w:val="center"/>
          </w:tcPr>
          <w:p w14:paraId="42AE83EF">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是否按期完成</w:t>
            </w:r>
          </w:p>
        </w:tc>
        <w:tc>
          <w:tcPr>
            <w:tcW w:w="3686" w:type="dxa"/>
            <w:tcBorders>
              <w:top w:val="nil"/>
              <w:left w:val="nil"/>
              <w:bottom w:val="single" w:color="auto" w:sz="8" w:space="0"/>
              <w:right w:val="single" w:color="auto" w:sz="8" w:space="0"/>
            </w:tcBorders>
            <w:shd w:val="clear" w:color="auto" w:fill="auto"/>
            <w:vAlign w:val="center"/>
          </w:tcPr>
          <w:p w14:paraId="3A7A3AE4">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4" w:space="0"/>
            </w:tcBorders>
          </w:tcPr>
          <w:p w14:paraId="11CDBF65">
            <w:pPr>
              <w:widowControl/>
              <w:jc w:val="left"/>
              <w:rPr>
                <w:rFonts w:ascii="Times New Roman" w:hAnsi="Times New Roman" w:eastAsia="方正仿宋_GBK" w:cs="Times New Roman"/>
                <w:color w:val="000000"/>
                <w:kern w:val="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tcPr>
          <w:p w14:paraId="04881D8D">
            <w:pPr>
              <w:widowControl/>
              <w:jc w:val="left"/>
              <w:rPr>
                <w:rFonts w:ascii="Times New Roman" w:hAnsi="Times New Roman" w:eastAsia="方正仿宋_GBK" w:cs="Times New Roman"/>
                <w:color w:val="000000"/>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A52FE1">
            <w:pPr>
              <w:widowControl/>
              <w:jc w:val="left"/>
              <w:rPr>
                <w:rFonts w:ascii="Times New Roman" w:hAnsi="Times New Roman" w:eastAsia="方正仿宋_GBK" w:cs="Times New Roman"/>
                <w:color w:val="000000"/>
                <w:kern w:val="0"/>
                <w:sz w:val="24"/>
                <w:szCs w:val="24"/>
              </w:rPr>
            </w:pPr>
          </w:p>
        </w:tc>
      </w:tr>
      <w:tr w14:paraId="699ABADE">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1BA68A7F">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68AB1D9A">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C1重点工作数量完成率</w:t>
            </w:r>
          </w:p>
        </w:tc>
        <w:tc>
          <w:tcPr>
            <w:tcW w:w="3402" w:type="dxa"/>
            <w:tcBorders>
              <w:top w:val="nil"/>
              <w:left w:val="nil"/>
              <w:bottom w:val="single" w:color="auto" w:sz="8" w:space="0"/>
              <w:right w:val="single" w:color="auto" w:sz="8" w:space="0"/>
            </w:tcBorders>
            <w:shd w:val="clear" w:color="auto" w:fill="auto"/>
            <w:vAlign w:val="center"/>
          </w:tcPr>
          <w:p w14:paraId="25DB46BF">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推进经贸交流合作</w:t>
            </w:r>
          </w:p>
        </w:tc>
        <w:tc>
          <w:tcPr>
            <w:tcW w:w="3686" w:type="dxa"/>
            <w:tcBorders>
              <w:top w:val="nil"/>
              <w:left w:val="nil"/>
              <w:bottom w:val="single" w:color="auto" w:sz="8" w:space="0"/>
              <w:right w:val="single" w:color="auto" w:sz="8" w:space="0"/>
            </w:tcBorders>
            <w:shd w:val="clear" w:color="auto" w:fill="auto"/>
            <w:vAlign w:val="center"/>
          </w:tcPr>
          <w:p w14:paraId="08DCEE54">
            <w:pPr>
              <w:widowControl/>
              <w:jc w:val="lef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组织主场外事活动</w:t>
            </w:r>
          </w:p>
        </w:tc>
        <w:tc>
          <w:tcPr>
            <w:tcW w:w="2551" w:type="dxa"/>
            <w:tcBorders>
              <w:top w:val="single" w:color="auto" w:sz="8" w:space="0"/>
              <w:left w:val="nil"/>
              <w:bottom w:val="single" w:color="auto" w:sz="8" w:space="0"/>
              <w:right w:val="single" w:color="auto" w:sz="4" w:space="0"/>
            </w:tcBorders>
          </w:tcPr>
          <w:p w14:paraId="1AFBFE26">
            <w:pPr>
              <w:widowControl/>
              <w:spacing w:line="240" w:lineRule="exact"/>
              <w:jc w:val="lef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年内组织1场以上具有重要影响力的主场外事活动</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7CB6C557">
            <w:pPr>
              <w:widowControl/>
              <w:jc w:val="center"/>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10分</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68DFE3">
            <w:pPr>
              <w:widowControl/>
              <w:jc w:val="center"/>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10分</w:t>
            </w:r>
          </w:p>
        </w:tc>
      </w:tr>
      <w:tr w14:paraId="39CBF948">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7F19AB99">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46F2640B">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C2重点工作质量达标率</w:t>
            </w:r>
          </w:p>
        </w:tc>
        <w:tc>
          <w:tcPr>
            <w:tcW w:w="3402" w:type="dxa"/>
            <w:tcBorders>
              <w:top w:val="nil"/>
              <w:left w:val="nil"/>
              <w:bottom w:val="single" w:color="auto" w:sz="8" w:space="0"/>
              <w:right w:val="single" w:color="auto" w:sz="8" w:space="0"/>
            </w:tcBorders>
            <w:shd w:val="clear" w:color="auto" w:fill="auto"/>
            <w:vAlign w:val="center"/>
          </w:tcPr>
          <w:p w14:paraId="6CC544B6">
            <w:pPr>
              <w:widowControl/>
              <w:spacing w:line="240" w:lineRule="exact"/>
              <w:jc w:val="left"/>
              <w:rPr>
                <w:rFonts w:ascii="Times New Roman" w:hAnsi="Times New Roman" w:eastAsia="方正仿宋_GBK" w:cs="Times New Roman"/>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14:paraId="7FC51558">
            <w:pPr>
              <w:widowControl/>
              <w:jc w:val="left"/>
              <w:rPr>
                <w:rFonts w:ascii="Times New Roman" w:hAnsi="Times New Roman" w:eastAsia="方正仿宋_GBK" w:cs="Times New Roman"/>
                <w:color w:val="000000"/>
                <w:kern w:val="0"/>
                <w:sz w:val="24"/>
                <w:szCs w:val="24"/>
              </w:rPr>
            </w:pPr>
          </w:p>
        </w:tc>
        <w:tc>
          <w:tcPr>
            <w:tcW w:w="2551" w:type="dxa"/>
            <w:tcBorders>
              <w:top w:val="single" w:color="auto" w:sz="8" w:space="0"/>
              <w:left w:val="nil"/>
              <w:bottom w:val="single" w:color="auto" w:sz="8" w:space="0"/>
              <w:right w:val="single" w:color="auto" w:sz="4" w:space="0"/>
            </w:tcBorders>
          </w:tcPr>
          <w:p w14:paraId="0489F693">
            <w:pPr>
              <w:widowControl/>
              <w:spacing w:line="240" w:lineRule="exact"/>
              <w:jc w:val="left"/>
              <w:rPr>
                <w:rFonts w:ascii="Times New Roman" w:hAnsi="Times New Roman" w:eastAsia="方正仿宋_GBK" w:cs="Times New Roman"/>
                <w:color w:val="000000"/>
                <w:kern w:val="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1507BBBC">
            <w:pPr>
              <w:widowControl/>
              <w:jc w:val="center"/>
              <w:rPr>
                <w:rFonts w:ascii="Times New Roman" w:hAnsi="Times New Roman" w:eastAsia="方正仿宋_GBK" w:cs="Times New Roman"/>
                <w:color w:val="000000"/>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0B49BE">
            <w:pPr>
              <w:widowControl/>
              <w:jc w:val="center"/>
              <w:rPr>
                <w:rFonts w:ascii="Times New Roman" w:hAnsi="Times New Roman" w:eastAsia="方正仿宋_GBK" w:cs="Times New Roman"/>
                <w:color w:val="000000"/>
                <w:kern w:val="0"/>
                <w:sz w:val="24"/>
                <w:szCs w:val="24"/>
              </w:rPr>
            </w:pPr>
          </w:p>
        </w:tc>
      </w:tr>
      <w:tr w14:paraId="126FCFA3">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7CE07078">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79C46200">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C3重点工作完成及时率</w:t>
            </w:r>
          </w:p>
        </w:tc>
        <w:tc>
          <w:tcPr>
            <w:tcW w:w="3402" w:type="dxa"/>
            <w:tcBorders>
              <w:top w:val="nil"/>
              <w:left w:val="nil"/>
              <w:bottom w:val="single" w:color="auto" w:sz="8" w:space="0"/>
              <w:right w:val="single" w:color="auto" w:sz="8" w:space="0"/>
            </w:tcBorders>
            <w:shd w:val="clear" w:color="auto" w:fill="auto"/>
            <w:vAlign w:val="center"/>
          </w:tcPr>
          <w:p w14:paraId="1468D956">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是否按期完成</w:t>
            </w:r>
          </w:p>
        </w:tc>
        <w:tc>
          <w:tcPr>
            <w:tcW w:w="3686" w:type="dxa"/>
            <w:tcBorders>
              <w:top w:val="nil"/>
              <w:left w:val="nil"/>
              <w:bottom w:val="single" w:color="auto" w:sz="8" w:space="0"/>
              <w:right w:val="single" w:color="auto" w:sz="8" w:space="0"/>
            </w:tcBorders>
            <w:shd w:val="clear" w:color="auto" w:fill="auto"/>
            <w:vAlign w:val="center"/>
          </w:tcPr>
          <w:p w14:paraId="1F57C72F">
            <w:pPr>
              <w:widowControl/>
              <w:jc w:val="left"/>
              <w:rPr>
                <w:rFonts w:ascii="Times New Roman" w:hAnsi="Times New Roman" w:eastAsia="方正仿宋_GBK" w:cs="Times New Roman"/>
                <w:color w:val="000000"/>
                <w:kern w:val="0"/>
                <w:sz w:val="24"/>
                <w:szCs w:val="24"/>
              </w:rPr>
            </w:pPr>
          </w:p>
        </w:tc>
        <w:tc>
          <w:tcPr>
            <w:tcW w:w="2551" w:type="dxa"/>
            <w:tcBorders>
              <w:top w:val="single" w:color="auto" w:sz="8" w:space="0"/>
              <w:left w:val="nil"/>
              <w:bottom w:val="single" w:color="auto" w:sz="8" w:space="0"/>
              <w:right w:val="single" w:color="auto" w:sz="4" w:space="0"/>
            </w:tcBorders>
          </w:tcPr>
          <w:p w14:paraId="09DDF09E">
            <w:pPr>
              <w:widowControl/>
              <w:spacing w:line="240" w:lineRule="exact"/>
              <w:jc w:val="left"/>
              <w:rPr>
                <w:rFonts w:ascii="Times New Roman" w:hAnsi="Times New Roman" w:eastAsia="方正仿宋_GBK" w:cs="Times New Roman"/>
                <w:color w:val="000000"/>
                <w:kern w:val="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397028B7">
            <w:pPr>
              <w:widowControl/>
              <w:jc w:val="center"/>
              <w:rPr>
                <w:rFonts w:ascii="Times New Roman" w:hAnsi="Times New Roman" w:eastAsia="方正仿宋_GBK" w:cs="Times New Roman"/>
                <w:color w:val="000000"/>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9D0865">
            <w:pPr>
              <w:widowControl/>
              <w:jc w:val="center"/>
              <w:rPr>
                <w:rFonts w:ascii="Times New Roman" w:hAnsi="Times New Roman" w:eastAsia="方正仿宋_GBK" w:cs="Times New Roman"/>
                <w:color w:val="000000"/>
                <w:kern w:val="0"/>
                <w:sz w:val="24"/>
                <w:szCs w:val="24"/>
              </w:rPr>
            </w:pPr>
          </w:p>
        </w:tc>
      </w:tr>
      <w:tr w14:paraId="1C688996">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108F3581">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7A12B446">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C1重点工作数量完成率</w:t>
            </w:r>
          </w:p>
        </w:tc>
        <w:tc>
          <w:tcPr>
            <w:tcW w:w="3402" w:type="dxa"/>
            <w:tcBorders>
              <w:top w:val="nil"/>
              <w:left w:val="nil"/>
              <w:bottom w:val="single" w:color="auto" w:sz="8" w:space="0"/>
              <w:right w:val="single" w:color="auto" w:sz="8" w:space="0"/>
            </w:tcBorders>
            <w:shd w:val="clear" w:color="auto" w:fill="auto"/>
            <w:vAlign w:val="center"/>
          </w:tcPr>
          <w:p w14:paraId="4C9DBA3D">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加强与友城在经贸、文化、体育等方面的友好合作</w:t>
            </w:r>
          </w:p>
        </w:tc>
        <w:tc>
          <w:tcPr>
            <w:tcW w:w="3686" w:type="dxa"/>
            <w:tcBorders>
              <w:top w:val="nil"/>
              <w:left w:val="nil"/>
              <w:bottom w:val="single" w:color="auto" w:sz="8" w:space="0"/>
              <w:right w:val="single" w:color="auto" w:sz="8" w:space="0"/>
            </w:tcBorders>
            <w:shd w:val="clear" w:color="auto" w:fill="auto"/>
            <w:vAlign w:val="center"/>
          </w:tcPr>
          <w:p w14:paraId="548EC044">
            <w:pPr>
              <w:widowControl/>
              <w:jc w:val="lef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1.友城相关人员来宁参访活动；2.组织友城官员来宁培训；3.友城雕塑家来宁采风</w:t>
            </w:r>
          </w:p>
        </w:tc>
        <w:tc>
          <w:tcPr>
            <w:tcW w:w="2551" w:type="dxa"/>
            <w:tcBorders>
              <w:top w:val="single" w:color="auto" w:sz="8" w:space="0"/>
              <w:left w:val="nil"/>
              <w:bottom w:val="single" w:color="auto" w:sz="8" w:space="0"/>
              <w:right w:val="single" w:color="auto" w:sz="4" w:space="0"/>
            </w:tcBorders>
          </w:tcPr>
          <w:p w14:paraId="2539D78D">
            <w:pPr>
              <w:widowControl/>
              <w:spacing w:line="240" w:lineRule="exact"/>
              <w:jc w:val="left"/>
              <w:rPr>
                <w:rFonts w:ascii="Times New Roman" w:hAnsi="Times New Roman" w:eastAsia="方正仿宋_GBK" w:cs="Times New Roman"/>
                <w:color w:val="000000"/>
                <w:kern w:val="0"/>
                <w:sz w:val="24"/>
                <w:szCs w:val="24"/>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240DA722">
            <w:pPr>
              <w:widowControl/>
              <w:jc w:val="center"/>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5分</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63A742">
            <w:pPr>
              <w:widowControl/>
              <w:jc w:val="center"/>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2分</w:t>
            </w:r>
          </w:p>
        </w:tc>
      </w:tr>
      <w:tr w14:paraId="6C9C5141">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3C259649">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5BDE3F5D">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C2重点工作质量达标率</w:t>
            </w:r>
          </w:p>
        </w:tc>
        <w:tc>
          <w:tcPr>
            <w:tcW w:w="3402" w:type="dxa"/>
            <w:tcBorders>
              <w:top w:val="nil"/>
              <w:left w:val="nil"/>
              <w:bottom w:val="single" w:color="auto" w:sz="8" w:space="0"/>
              <w:right w:val="single" w:color="auto" w:sz="8" w:space="0"/>
            </w:tcBorders>
            <w:shd w:val="clear" w:color="auto" w:fill="auto"/>
            <w:vAlign w:val="center"/>
          </w:tcPr>
          <w:p w14:paraId="14F450CA">
            <w:pPr>
              <w:widowControl/>
              <w:spacing w:line="240" w:lineRule="exact"/>
              <w:jc w:val="left"/>
              <w:rPr>
                <w:rFonts w:ascii="Times New Roman" w:hAnsi="Times New Roman" w:eastAsia="方正仿宋_GBK" w:cs="Times New Roman"/>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14:paraId="36A9ED83">
            <w:pPr>
              <w:widowControl/>
              <w:jc w:val="left"/>
              <w:rPr>
                <w:rFonts w:ascii="Times New Roman" w:hAnsi="Times New Roman" w:eastAsia="方正仿宋_GBK" w:cs="Times New Roman"/>
                <w:color w:val="000000"/>
                <w:kern w:val="0"/>
                <w:sz w:val="24"/>
                <w:szCs w:val="24"/>
              </w:rPr>
            </w:pPr>
          </w:p>
        </w:tc>
        <w:tc>
          <w:tcPr>
            <w:tcW w:w="2551" w:type="dxa"/>
            <w:tcBorders>
              <w:top w:val="single" w:color="auto" w:sz="8" w:space="0"/>
              <w:left w:val="nil"/>
              <w:bottom w:val="single" w:color="auto" w:sz="8" w:space="0"/>
              <w:right w:val="single" w:color="auto" w:sz="4" w:space="0"/>
            </w:tcBorders>
          </w:tcPr>
          <w:p w14:paraId="7B39DD47">
            <w:pPr>
              <w:widowControl/>
              <w:spacing w:line="240" w:lineRule="exact"/>
              <w:jc w:val="left"/>
              <w:rPr>
                <w:rFonts w:ascii="Times New Roman" w:hAnsi="Times New Roman" w:eastAsia="方正仿宋_GBK" w:cs="Times New Roman"/>
                <w:color w:val="000000"/>
                <w:kern w:val="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35F2FFEA">
            <w:pPr>
              <w:widowControl/>
              <w:jc w:val="center"/>
              <w:rPr>
                <w:rFonts w:ascii="Times New Roman" w:hAnsi="Times New Roman" w:eastAsia="方正仿宋_GBK" w:cs="Times New Roman"/>
                <w:color w:val="000000"/>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4A352C">
            <w:pPr>
              <w:widowControl/>
              <w:jc w:val="center"/>
              <w:rPr>
                <w:rFonts w:ascii="Times New Roman" w:hAnsi="Times New Roman" w:eastAsia="方正仿宋_GBK" w:cs="Times New Roman"/>
                <w:color w:val="000000"/>
                <w:kern w:val="0"/>
                <w:sz w:val="24"/>
                <w:szCs w:val="24"/>
              </w:rPr>
            </w:pPr>
          </w:p>
        </w:tc>
      </w:tr>
      <w:tr w14:paraId="5DB06101">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474CD9C1">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16838537">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C3重点工作完成及时率</w:t>
            </w:r>
          </w:p>
        </w:tc>
        <w:tc>
          <w:tcPr>
            <w:tcW w:w="3402" w:type="dxa"/>
            <w:tcBorders>
              <w:top w:val="nil"/>
              <w:left w:val="nil"/>
              <w:bottom w:val="single" w:color="auto" w:sz="8" w:space="0"/>
              <w:right w:val="single" w:color="auto" w:sz="8" w:space="0"/>
            </w:tcBorders>
            <w:shd w:val="clear" w:color="auto" w:fill="auto"/>
            <w:vAlign w:val="center"/>
          </w:tcPr>
          <w:p w14:paraId="5D67DDB7">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是否按期完成</w:t>
            </w:r>
          </w:p>
        </w:tc>
        <w:tc>
          <w:tcPr>
            <w:tcW w:w="3686" w:type="dxa"/>
            <w:tcBorders>
              <w:top w:val="nil"/>
              <w:left w:val="nil"/>
              <w:bottom w:val="single" w:color="auto" w:sz="8" w:space="0"/>
              <w:right w:val="single" w:color="auto" w:sz="8" w:space="0"/>
            </w:tcBorders>
            <w:shd w:val="clear" w:color="auto" w:fill="auto"/>
            <w:vAlign w:val="center"/>
          </w:tcPr>
          <w:p w14:paraId="6FD4AC67">
            <w:pPr>
              <w:widowControl/>
              <w:jc w:val="left"/>
              <w:rPr>
                <w:rFonts w:ascii="Times New Roman" w:hAnsi="Times New Roman" w:eastAsia="方正仿宋_GBK" w:cs="Times New Roman"/>
                <w:color w:val="000000"/>
                <w:kern w:val="0"/>
                <w:sz w:val="24"/>
                <w:szCs w:val="24"/>
              </w:rPr>
            </w:pPr>
          </w:p>
        </w:tc>
        <w:tc>
          <w:tcPr>
            <w:tcW w:w="2551" w:type="dxa"/>
            <w:tcBorders>
              <w:top w:val="single" w:color="auto" w:sz="8" w:space="0"/>
              <w:left w:val="nil"/>
              <w:bottom w:val="single" w:color="auto" w:sz="8" w:space="0"/>
              <w:right w:val="single" w:color="auto" w:sz="4" w:space="0"/>
            </w:tcBorders>
          </w:tcPr>
          <w:p w14:paraId="7C95D3CB">
            <w:pPr>
              <w:widowControl/>
              <w:jc w:val="left"/>
              <w:rPr>
                <w:rFonts w:ascii="Times New Roman" w:hAnsi="Times New Roman" w:eastAsia="方正仿宋_GBK" w:cs="Times New Roman"/>
                <w:color w:val="000000"/>
                <w:kern w:val="0"/>
                <w:sz w:val="24"/>
                <w:szCs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6DCFC2A">
            <w:pPr>
              <w:widowControl/>
              <w:jc w:val="center"/>
              <w:rPr>
                <w:rFonts w:ascii="Times New Roman" w:hAnsi="Times New Roman" w:eastAsia="方正仿宋_GBK" w:cs="Times New Roman"/>
                <w:color w:val="000000"/>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89C9E7">
            <w:pPr>
              <w:widowControl/>
              <w:jc w:val="center"/>
              <w:rPr>
                <w:rFonts w:ascii="Times New Roman" w:hAnsi="Times New Roman" w:eastAsia="方正仿宋_GBK" w:cs="Times New Roman"/>
                <w:color w:val="000000"/>
                <w:kern w:val="0"/>
                <w:sz w:val="24"/>
                <w:szCs w:val="24"/>
              </w:rPr>
            </w:pPr>
          </w:p>
        </w:tc>
      </w:tr>
      <w:tr w14:paraId="4AE12123">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0D27BAF6">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42E88373">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C1重点工作数量完成率</w:t>
            </w:r>
          </w:p>
        </w:tc>
        <w:tc>
          <w:tcPr>
            <w:tcW w:w="3402" w:type="dxa"/>
            <w:tcBorders>
              <w:top w:val="nil"/>
              <w:left w:val="nil"/>
              <w:bottom w:val="single" w:color="auto" w:sz="8" w:space="0"/>
              <w:right w:val="single" w:color="auto" w:sz="8" w:space="0"/>
            </w:tcBorders>
            <w:shd w:val="clear" w:color="auto" w:fill="auto"/>
            <w:vAlign w:val="center"/>
          </w:tcPr>
          <w:p w14:paraId="418AE538">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加强对外友好交流，进一步深化青年文化交流和国际友城交往</w:t>
            </w:r>
          </w:p>
        </w:tc>
        <w:tc>
          <w:tcPr>
            <w:tcW w:w="3686" w:type="dxa"/>
            <w:tcBorders>
              <w:top w:val="nil"/>
              <w:left w:val="nil"/>
              <w:bottom w:val="single" w:color="auto" w:sz="8" w:space="0"/>
              <w:right w:val="single" w:color="auto" w:sz="8" w:space="0"/>
            </w:tcBorders>
            <w:shd w:val="clear" w:color="auto" w:fill="auto"/>
            <w:vAlign w:val="center"/>
          </w:tcPr>
          <w:p w14:paraId="505E82DA">
            <w:pPr>
              <w:widowControl/>
              <w:jc w:val="lef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组织在宁留学生体验中华文化等活动</w:t>
            </w:r>
          </w:p>
        </w:tc>
        <w:tc>
          <w:tcPr>
            <w:tcW w:w="2551" w:type="dxa"/>
            <w:tcBorders>
              <w:top w:val="single" w:color="auto" w:sz="8" w:space="0"/>
              <w:left w:val="nil"/>
              <w:bottom w:val="single" w:color="auto" w:sz="8" w:space="0"/>
              <w:right w:val="single" w:color="auto" w:sz="4" w:space="0"/>
            </w:tcBorders>
          </w:tcPr>
          <w:p w14:paraId="22DB6253">
            <w:pPr>
              <w:widowControl/>
              <w:jc w:val="left"/>
              <w:rPr>
                <w:rFonts w:ascii="Times New Roman" w:hAnsi="Times New Roman" w:eastAsia="方正仿宋_GBK" w:cs="Times New Roman"/>
                <w:color w:val="000000"/>
                <w:kern w:val="0"/>
                <w:sz w:val="24"/>
                <w:szCs w:val="24"/>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4C67CADA">
            <w:pPr>
              <w:widowControl/>
              <w:jc w:val="center"/>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5分</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E107CA">
            <w:pPr>
              <w:widowControl/>
              <w:jc w:val="center"/>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5分</w:t>
            </w:r>
          </w:p>
        </w:tc>
      </w:tr>
      <w:tr w14:paraId="2DEFA7FC">
        <w:tblPrEx>
          <w:tblCellMar>
            <w:top w:w="0" w:type="dxa"/>
            <w:left w:w="108" w:type="dxa"/>
            <w:bottom w:w="0" w:type="dxa"/>
            <w:right w:w="108" w:type="dxa"/>
          </w:tblCellMar>
        </w:tblPrEx>
        <w:trPr>
          <w:trHeight w:val="600" w:hRule="atLeast"/>
        </w:trPr>
        <w:tc>
          <w:tcPr>
            <w:tcW w:w="1266" w:type="dxa"/>
            <w:vMerge w:val="continue"/>
            <w:tcBorders>
              <w:left w:val="single" w:color="auto" w:sz="8" w:space="0"/>
              <w:right w:val="single" w:color="auto" w:sz="8" w:space="0"/>
            </w:tcBorders>
            <w:vAlign w:val="center"/>
          </w:tcPr>
          <w:p w14:paraId="30AAE612">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00158518">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C2重点工作质量达标率</w:t>
            </w:r>
          </w:p>
        </w:tc>
        <w:tc>
          <w:tcPr>
            <w:tcW w:w="3402" w:type="dxa"/>
            <w:tcBorders>
              <w:top w:val="nil"/>
              <w:left w:val="nil"/>
              <w:bottom w:val="single" w:color="auto" w:sz="8" w:space="0"/>
              <w:right w:val="single" w:color="auto" w:sz="8" w:space="0"/>
            </w:tcBorders>
            <w:shd w:val="clear" w:color="auto" w:fill="auto"/>
            <w:vAlign w:val="center"/>
          </w:tcPr>
          <w:p w14:paraId="05F17137">
            <w:pPr>
              <w:widowControl/>
              <w:spacing w:line="240" w:lineRule="exact"/>
              <w:jc w:val="left"/>
              <w:rPr>
                <w:rFonts w:ascii="Times New Roman" w:hAnsi="Times New Roman" w:eastAsia="方正仿宋_GBK" w:cs="Times New Roman"/>
                <w:color w:val="000000"/>
                <w:kern w:val="0"/>
                <w:sz w:val="24"/>
                <w:szCs w:val="24"/>
              </w:rPr>
            </w:pPr>
          </w:p>
        </w:tc>
        <w:tc>
          <w:tcPr>
            <w:tcW w:w="3686" w:type="dxa"/>
            <w:tcBorders>
              <w:top w:val="nil"/>
              <w:left w:val="nil"/>
              <w:bottom w:val="single" w:color="auto" w:sz="8" w:space="0"/>
              <w:right w:val="single" w:color="auto" w:sz="8" w:space="0"/>
            </w:tcBorders>
            <w:shd w:val="clear" w:color="auto" w:fill="auto"/>
            <w:vAlign w:val="center"/>
          </w:tcPr>
          <w:p w14:paraId="3B069424">
            <w:pPr>
              <w:widowControl/>
              <w:jc w:val="left"/>
              <w:rPr>
                <w:rFonts w:ascii="Times New Roman" w:hAnsi="Times New Roman" w:eastAsia="方正仿宋_GBK" w:cs="Times New Roman"/>
                <w:color w:val="000000"/>
                <w:kern w:val="0"/>
                <w:sz w:val="24"/>
                <w:szCs w:val="24"/>
              </w:rPr>
            </w:pPr>
          </w:p>
        </w:tc>
        <w:tc>
          <w:tcPr>
            <w:tcW w:w="2551" w:type="dxa"/>
            <w:tcBorders>
              <w:top w:val="single" w:color="auto" w:sz="8" w:space="0"/>
              <w:left w:val="nil"/>
              <w:bottom w:val="single" w:color="auto" w:sz="8" w:space="0"/>
              <w:right w:val="single" w:color="auto" w:sz="4" w:space="0"/>
            </w:tcBorders>
          </w:tcPr>
          <w:p w14:paraId="129B7342">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xml:space="preserve">   </w:t>
            </w:r>
          </w:p>
        </w:tc>
        <w:tc>
          <w:tcPr>
            <w:tcW w:w="851" w:type="dxa"/>
            <w:vMerge w:val="continue"/>
            <w:tcBorders>
              <w:top w:val="single" w:color="auto" w:sz="4" w:space="0"/>
              <w:left w:val="single" w:color="auto" w:sz="4" w:space="0"/>
              <w:bottom w:val="single" w:color="auto" w:sz="4" w:space="0"/>
              <w:right w:val="single" w:color="auto" w:sz="8" w:space="0"/>
            </w:tcBorders>
          </w:tcPr>
          <w:p w14:paraId="4226473F">
            <w:pPr>
              <w:widowControl/>
              <w:jc w:val="left"/>
              <w:rPr>
                <w:rFonts w:ascii="Times New Roman" w:hAnsi="Times New Roman" w:eastAsia="方正仿宋_GBK" w:cs="Times New Roman"/>
                <w:color w:val="000000"/>
                <w:kern w:val="0"/>
                <w:sz w:val="24"/>
                <w:szCs w:val="24"/>
              </w:rPr>
            </w:pPr>
          </w:p>
        </w:tc>
        <w:tc>
          <w:tcPr>
            <w:tcW w:w="992"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398BDD4F">
            <w:pPr>
              <w:widowControl/>
              <w:jc w:val="left"/>
              <w:rPr>
                <w:rFonts w:ascii="Times New Roman" w:hAnsi="Times New Roman" w:eastAsia="方正仿宋_GBK" w:cs="Times New Roman"/>
                <w:color w:val="000000"/>
                <w:kern w:val="0"/>
                <w:sz w:val="24"/>
                <w:szCs w:val="24"/>
              </w:rPr>
            </w:pPr>
          </w:p>
        </w:tc>
      </w:tr>
      <w:tr w14:paraId="1D0B24C4">
        <w:tblPrEx>
          <w:tblCellMar>
            <w:top w:w="0" w:type="dxa"/>
            <w:left w:w="108" w:type="dxa"/>
            <w:bottom w:w="0" w:type="dxa"/>
            <w:right w:w="108" w:type="dxa"/>
          </w:tblCellMar>
        </w:tblPrEx>
        <w:trPr>
          <w:trHeight w:val="600" w:hRule="atLeast"/>
        </w:trPr>
        <w:tc>
          <w:tcPr>
            <w:tcW w:w="1266" w:type="dxa"/>
            <w:vMerge w:val="continue"/>
            <w:tcBorders>
              <w:left w:val="single" w:color="auto" w:sz="8" w:space="0"/>
              <w:bottom w:val="single" w:color="auto" w:sz="8" w:space="0"/>
              <w:right w:val="single" w:color="auto" w:sz="8" w:space="0"/>
            </w:tcBorders>
            <w:vAlign w:val="center"/>
          </w:tcPr>
          <w:p w14:paraId="30807B53">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43C2B6EC">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C3重点工作完成及时率</w:t>
            </w:r>
          </w:p>
        </w:tc>
        <w:tc>
          <w:tcPr>
            <w:tcW w:w="3402" w:type="dxa"/>
            <w:tcBorders>
              <w:top w:val="nil"/>
              <w:left w:val="nil"/>
              <w:bottom w:val="single" w:color="auto" w:sz="8" w:space="0"/>
              <w:right w:val="single" w:color="auto" w:sz="8" w:space="0"/>
            </w:tcBorders>
            <w:shd w:val="clear" w:color="auto" w:fill="auto"/>
            <w:vAlign w:val="center"/>
          </w:tcPr>
          <w:p w14:paraId="3442B19F">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是否按期完成</w:t>
            </w:r>
          </w:p>
        </w:tc>
        <w:tc>
          <w:tcPr>
            <w:tcW w:w="3686" w:type="dxa"/>
            <w:tcBorders>
              <w:top w:val="nil"/>
              <w:left w:val="nil"/>
              <w:bottom w:val="single" w:color="auto" w:sz="8" w:space="0"/>
              <w:right w:val="single" w:color="auto" w:sz="8" w:space="0"/>
            </w:tcBorders>
            <w:shd w:val="clear" w:color="auto" w:fill="auto"/>
            <w:vAlign w:val="center"/>
          </w:tcPr>
          <w:p w14:paraId="117CB32F">
            <w:pPr>
              <w:widowControl/>
              <w:jc w:val="left"/>
              <w:rPr>
                <w:rFonts w:ascii="Times New Roman" w:hAnsi="Times New Roman" w:eastAsia="方正仿宋_GBK" w:cs="Times New Roman"/>
                <w:color w:val="000000"/>
                <w:kern w:val="0"/>
                <w:sz w:val="24"/>
                <w:szCs w:val="24"/>
              </w:rPr>
            </w:pPr>
          </w:p>
        </w:tc>
        <w:tc>
          <w:tcPr>
            <w:tcW w:w="2551" w:type="dxa"/>
            <w:tcBorders>
              <w:top w:val="single" w:color="auto" w:sz="8" w:space="0"/>
              <w:left w:val="nil"/>
              <w:bottom w:val="single" w:color="auto" w:sz="8" w:space="0"/>
              <w:right w:val="single" w:color="auto" w:sz="4" w:space="0"/>
            </w:tcBorders>
          </w:tcPr>
          <w:p w14:paraId="58720885">
            <w:pPr>
              <w:widowControl/>
              <w:jc w:val="left"/>
              <w:rPr>
                <w:rFonts w:ascii="Times New Roman" w:hAnsi="Times New Roman" w:eastAsia="方正仿宋_GBK" w:cs="Times New Roman"/>
                <w:color w:val="000000"/>
                <w:kern w:val="0"/>
                <w:sz w:val="24"/>
                <w:szCs w:val="24"/>
              </w:rPr>
            </w:pPr>
          </w:p>
        </w:tc>
        <w:tc>
          <w:tcPr>
            <w:tcW w:w="851" w:type="dxa"/>
            <w:vMerge w:val="continue"/>
            <w:tcBorders>
              <w:top w:val="single" w:color="auto" w:sz="4" w:space="0"/>
              <w:left w:val="single" w:color="auto" w:sz="4" w:space="0"/>
              <w:bottom w:val="single" w:color="auto" w:sz="4" w:space="0"/>
              <w:right w:val="single" w:color="auto" w:sz="8" w:space="0"/>
            </w:tcBorders>
          </w:tcPr>
          <w:p w14:paraId="1141C3C8">
            <w:pPr>
              <w:widowControl/>
              <w:jc w:val="left"/>
              <w:rPr>
                <w:rFonts w:ascii="Times New Roman" w:hAnsi="Times New Roman" w:eastAsia="方正仿宋_GBK" w:cs="Times New Roman"/>
                <w:color w:val="000000"/>
                <w:kern w:val="0"/>
                <w:sz w:val="24"/>
                <w:szCs w:val="24"/>
              </w:rPr>
            </w:pPr>
          </w:p>
        </w:tc>
        <w:tc>
          <w:tcPr>
            <w:tcW w:w="992"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14:paraId="40558D92">
            <w:pPr>
              <w:widowControl/>
              <w:jc w:val="left"/>
              <w:rPr>
                <w:rFonts w:ascii="Times New Roman" w:hAnsi="Times New Roman" w:eastAsia="方正仿宋_GBK" w:cs="Times New Roman"/>
                <w:color w:val="000000"/>
                <w:kern w:val="0"/>
                <w:sz w:val="24"/>
                <w:szCs w:val="24"/>
              </w:rPr>
            </w:pPr>
          </w:p>
        </w:tc>
      </w:tr>
      <w:tr w14:paraId="12523826">
        <w:tblPrEx>
          <w:tblCellMar>
            <w:top w:w="0" w:type="dxa"/>
            <w:left w:w="108" w:type="dxa"/>
            <w:bottom w:w="0" w:type="dxa"/>
            <w:right w:w="108" w:type="dxa"/>
          </w:tblCellMar>
        </w:tblPrEx>
        <w:trPr>
          <w:trHeight w:val="477" w:hRule="atLeast"/>
        </w:trPr>
        <w:tc>
          <w:tcPr>
            <w:tcW w:w="1266" w:type="dxa"/>
            <w:vMerge w:val="restart"/>
            <w:tcBorders>
              <w:top w:val="nil"/>
              <w:left w:val="single" w:color="auto" w:sz="8" w:space="0"/>
              <w:bottom w:val="single" w:color="auto" w:sz="8" w:space="0"/>
              <w:right w:val="single" w:color="auto" w:sz="8" w:space="0"/>
            </w:tcBorders>
            <w:shd w:val="clear" w:color="auto" w:fill="auto"/>
            <w:noWrap/>
            <w:vAlign w:val="center"/>
          </w:tcPr>
          <w:p w14:paraId="0444846E">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D履职绩效（30分）</w:t>
            </w:r>
          </w:p>
        </w:tc>
        <w:tc>
          <w:tcPr>
            <w:tcW w:w="1623" w:type="dxa"/>
            <w:tcBorders>
              <w:top w:val="single" w:color="auto" w:sz="8" w:space="0"/>
              <w:left w:val="nil"/>
              <w:bottom w:val="single" w:color="auto" w:sz="8" w:space="0"/>
              <w:right w:val="single" w:color="auto" w:sz="8" w:space="0"/>
            </w:tcBorders>
            <w:shd w:val="clear" w:color="auto" w:fill="auto"/>
            <w:vAlign w:val="center"/>
          </w:tcPr>
          <w:p w14:paraId="50798B6D">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D1经济效益</w:t>
            </w:r>
          </w:p>
        </w:tc>
        <w:tc>
          <w:tcPr>
            <w:tcW w:w="3402" w:type="dxa"/>
            <w:tcBorders>
              <w:top w:val="single" w:color="auto" w:sz="8" w:space="0"/>
              <w:left w:val="nil"/>
              <w:bottom w:val="single" w:color="auto" w:sz="8" w:space="0"/>
              <w:right w:val="single" w:color="auto" w:sz="8" w:space="0"/>
            </w:tcBorders>
            <w:shd w:val="clear" w:color="auto" w:fill="auto"/>
            <w:vAlign w:val="center"/>
          </w:tcPr>
          <w:p w14:paraId="6CE03E78">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3686" w:type="dxa"/>
            <w:tcBorders>
              <w:top w:val="single" w:color="auto" w:sz="8" w:space="0"/>
              <w:left w:val="nil"/>
              <w:bottom w:val="single" w:color="auto" w:sz="8" w:space="0"/>
              <w:right w:val="single" w:color="auto" w:sz="8" w:space="0"/>
            </w:tcBorders>
            <w:shd w:val="clear" w:color="auto" w:fill="auto"/>
            <w:vAlign w:val="center"/>
          </w:tcPr>
          <w:p w14:paraId="655AA298">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27C5AD2C">
            <w:pPr>
              <w:widowControl/>
              <w:jc w:val="left"/>
              <w:rPr>
                <w:rFonts w:ascii="Times New Roman" w:hAnsi="Times New Roman" w:eastAsia="方正仿宋_GBK" w:cs="Times New Roman"/>
                <w:color w:val="000000"/>
                <w:kern w:val="0"/>
                <w:sz w:val="24"/>
                <w:szCs w:val="24"/>
              </w:rPr>
            </w:pPr>
          </w:p>
        </w:tc>
        <w:tc>
          <w:tcPr>
            <w:tcW w:w="851" w:type="dxa"/>
            <w:vMerge w:val="restart"/>
            <w:tcBorders>
              <w:top w:val="single" w:color="auto" w:sz="4" w:space="0"/>
              <w:left w:val="single" w:color="auto" w:sz="8" w:space="0"/>
              <w:bottom w:val="single" w:color="auto" w:sz="4" w:space="0"/>
              <w:right w:val="single" w:color="auto" w:sz="8" w:space="0"/>
            </w:tcBorders>
            <w:vAlign w:val="center"/>
          </w:tcPr>
          <w:p w14:paraId="6160E876">
            <w:pPr>
              <w:widowControl/>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30分</w:t>
            </w:r>
          </w:p>
        </w:tc>
        <w:tc>
          <w:tcPr>
            <w:tcW w:w="992" w:type="dxa"/>
            <w:vMerge w:val="restart"/>
            <w:tcBorders>
              <w:top w:val="single" w:color="auto" w:sz="4" w:space="0"/>
              <w:left w:val="single" w:color="auto" w:sz="8" w:space="0"/>
              <w:bottom w:val="single" w:color="auto" w:sz="4" w:space="0"/>
              <w:right w:val="single" w:color="auto" w:sz="8" w:space="0"/>
            </w:tcBorders>
            <w:shd w:val="clear" w:color="auto" w:fill="auto"/>
            <w:vAlign w:val="center"/>
          </w:tcPr>
          <w:p w14:paraId="114A3EC2">
            <w:pPr>
              <w:jc w:val="left"/>
              <w:rPr>
                <w:rFonts w:ascii="Times New Roman" w:hAnsi="Times New Roman" w:eastAsia="方正仿宋_GBK" w:cs="Times New Roman"/>
                <w:color w:val="000000"/>
                <w:kern w:val="0"/>
                <w:sz w:val="24"/>
                <w:szCs w:val="24"/>
              </w:rPr>
            </w:pPr>
            <w:r>
              <w:rPr>
                <w:rFonts w:hint="eastAsia" w:ascii="Times New Roman" w:hAnsi="Times New Roman" w:eastAsia="方正仿宋_GBK" w:cs="Times New Roman"/>
                <w:color w:val="000000"/>
                <w:kern w:val="0"/>
                <w:sz w:val="24"/>
                <w:szCs w:val="24"/>
              </w:rPr>
              <w:t>30</w:t>
            </w:r>
            <w:r>
              <w:rPr>
                <w:rFonts w:ascii="Times New Roman" w:hAnsi="Times New Roman" w:eastAsia="方正仿宋_GBK" w:cs="Times New Roman"/>
                <w:color w:val="000000"/>
                <w:kern w:val="0"/>
                <w:sz w:val="24"/>
                <w:szCs w:val="24"/>
              </w:rPr>
              <w:t>分</w:t>
            </w:r>
          </w:p>
        </w:tc>
      </w:tr>
      <w:tr w14:paraId="45385386">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shd w:val="clear" w:color="auto" w:fill="auto"/>
            <w:noWrap/>
            <w:vAlign w:val="center"/>
          </w:tcPr>
          <w:p w14:paraId="0AFAB983">
            <w:pPr>
              <w:widowControl/>
              <w:jc w:val="left"/>
              <w:rPr>
                <w:rFonts w:ascii="Times New Roman" w:hAnsi="Times New Roman" w:eastAsia="方正仿宋_GBK" w:cs="Times New Roman"/>
                <w:color w:val="000000"/>
                <w:kern w:val="0"/>
                <w:sz w:val="24"/>
                <w:szCs w:val="24"/>
              </w:rPr>
            </w:pPr>
          </w:p>
        </w:tc>
        <w:tc>
          <w:tcPr>
            <w:tcW w:w="1623" w:type="dxa"/>
            <w:tcBorders>
              <w:top w:val="single" w:color="auto" w:sz="8" w:space="0"/>
              <w:left w:val="nil"/>
              <w:bottom w:val="single" w:color="auto" w:sz="8" w:space="0"/>
              <w:right w:val="single" w:color="auto" w:sz="8" w:space="0"/>
            </w:tcBorders>
            <w:shd w:val="clear" w:color="auto" w:fill="auto"/>
            <w:vAlign w:val="center"/>
          </w:tcPr>
          <w:p w14:paraId="115D1509">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D2社会效益</w:t>
            </w:r>
          </w:p>
        </w:tc>
        <w:tc>
          <w:tcPr>
            <w:tcW w:w="3402" w:type="dxa"/>
            <w:tcBorders>
              <w:top w:val="single" w:color="auto" w:sz="8" w:space="0"/>
              <w:left w:val="nil"/>
              <w:bottom w:val="single" w:color="auto" w:sz="8" w:space="0"/>
              <w:right w:val="single" w:color="auto" w:sz="8" w:space="0"/>
            </w:tcBorders>
            <w:shd w:val="clear" w:color="auto" w:fill="auto"/>
            <w:vAlign w:val="center"/>
          </w:tcPr>
          <w:p w14:paraId="79DD29FD">
            <w:pPr>
              <w:widowControl/>
              <w:jc w:val="left"/>
              <w:rPr>
                <w:rFonts w:ascii="Times New Roman" w:hAnsi="Times New Roman" w:eastAsia="方正仿宋_GBK" w:cs="Times New Roman"/>
                <w:color w:val="000000"/>
                <w:kern w:val="0"/>
                <w:sz w:val="24"/>
                <w:szCs w:val="24"/>
              </w:rPr>
            </w:pPr>
          </w:p>
        </w:tc>
        <w:tc>
          <w:tcPr>
            <w:tcW w:w="3686" w:type="dxa"/>
            <w:tcBorders>
              <w:top w:val="single" w:color="auto" w:sz="8" w:space="0"/>
              <w:left w:val="nil"/>
              <w:bottom w:val="single" w:color="auto" w:sz="8" w:space="0"/>
              <w:right w:val="single" w:color="auto" w:sz="8" w:space="0"/>
            </w:tcBorders>
            <w:shd w:val="clear" w:color="auto" w:fill="auto"/>
            <w:vAlign w:val="center"/>
          </w:tcPr>
          <w:p w14:paraId="0473F19F">
            <w:pPr>
              <w:widowControl/>
              <w:jc w:val="left"/>
              <w:rPr>
                <w:rFonts w:ascii="Times New Roman" w:hAnsi="Times New Roman" w:eastAsia="方正仿宋_GBK" w:cs="Times New Roman"/>
                <w:color w:val="000000"/>
                <w:kern w:val="0"/>
                <w:sz w:val="24"/>
                <w:szCs w:val="24"/>
              </w:rPr>
            </w:pPr>
          </w:p>
        </w:tc>
        <w:tc>
          <w:tcPr>
            <w:tcW w:w="2551" w:type="dxa"/>
            <w:tcBorders>
              <w:top w:val="single" w:color="auto" w:sz="8" w:space="0"/>
              <w:left w:val="nil"/>
              <w:bottom w:val="single" w:color="auto" w:sz="8" w:space="0"/>
              <w:right w:val="single" w:color="auto" w:sz="8" w:space="0"/>
            </w:tcBorders>
          </w:tcPr>
          <w:p w14:paraId="20F34A22">
            <w:pPr>
              <w:ind w:firstLine="480"/>
              <w:jc w:val="left"/>
              <w:rPr>
                <w:rFonts w:ascii="Times New Roman" w:hAnsi="Times New Roman" w:eastAsia="方正仿宋_GBK" w:cs="Times New Roman"/>
                <w:color w:val="000000"/>
                <w:kern w:val="0"/>
                <w:sz w:val="24"/>
                <w:szCs w:val="24"/>
              </w:rPr>
            </w:pPr>
          </w:p>
        </w:tc>
        <w:tc>
          <w:tcPr>
            <w:tcW w:w="851" w:type="dxa"/>
            <w:vMerge w:val="continue"/>
            <w:tcBorders>
              <w:top w:val="single" w:color="auto" w:sz="4" w:space="0"/>
              <w:left w:val="single" w:color="auto" w:sz="8" w:space="0"/>
              <w:bottom w:val="single" w:color="auto" w:sz="4" w:space="0"/>
              <w:right w:val="single" w:color="auto" w:sz="8" w:space="0"/>
            </w:tcBorders>
          </w:tcPr>
          <w:p w14:paraId="198D1A15">
            <w:pPr>
              <w:ind w:firstLine="480"/>
              <w:jc w:val="left"/>
              <w:rPr>
                <w:rFonts w:ascii="Times New Roman" w:hAnsi="Times New Roman" w:eastAsia="方正仿宋_GBK" w:cs="Times New Roman"/>
                <w:color w:val="000000"/>
                <w:kern w:val="0"/>
                <w:sz w:val="24"/>
                <w:szCs w:val="24"/>
              </w:rPr>
            </w:pPr>
          </w:p>
        </w:tc>
        <w:tc>
          <w:tcPr>
            <w:tcW w:w="992" w:type="dxa"/>
            <w:vMerge w:val="continue"/>
            <w:tcBorders>
              <w:top w:val="single" w:color="auto" w:sz="4" w:space="0"/>
              <w:left w:val="single" w:color="auto" w:sz="8" w:space="0"/>
              <w:bottom w:val="single" w:color="auto" w:sz="4" w:space="0"/>
              <w:right w:val="single" w:color="auto" w:sz="8" w:space="0"/>
            </w:tcBorders>
            <w:shd w:val="clear" w:color="auto" w:fill="auto"/>
            <w:vAlign w:val="center"/>
          </w:tcPr>
          <w:p w14:paraId="4677E140">
            <w:pPr>
              <w:ind w:firstLine="480"/>
              <w:jc w:val="left"/>
              <w:rPr>
                <w:rFonts w:ascii="Times New Roman" w:hAnsi="Times New Roman" w:eastAsia="方正仿宋_GBK" w:cs="Times New Roman"/>
                <w:color w:val="000000"/>
                <w:kern w:val="0"/>
                <w:sz w:val="24"/>
                <w:szCs w:val="24"/>
              </w:rPr>
            </w:pPr>
          </w:p>
        </w:tc>
      </w:tr>
      <w:tr w14:paraId="530C9C5A">
        <w:tblPrEx>
          <w:tblCellMar>
            <w:top w:w="0" w:type="dxa"/>
            <w:left w:w="108" w:type="dxa"/>
            <w:bottom w:w="0" w:type="dxa"/>
            <w:right w:w="108" w:type="dxa"/>
          </w:tblCellMar>
        </w:tblPrEx>
        <w:trPr>
          <w:trHeight w:val="571" w:hRule="atLeast"/>
        </w:trPr>
        <w:tc>
          <w:tcPr>
            <w:tcW w:w="1266" w:type="dxa"/>
            <w:vMerge w:val="continue"/>
            <w:tcBorders>
              <w:top w:val="nil"/>
              <w:left w:val="single" w:color="auto" w:sz="8" w:space="0"/>
              <w:bottom w:val="single" w:color="auto" w:sz="8" w:space="0"/>
              <w:right w:val="single" w:color="auto" w:sz="8" w:space="0"/>
            </w:tcBorders>
            <w:vAlign w:val="center"/>
          </w:tcPr>
          <w:p w14:paraId="32C33C11">
            <w:pPr>
              <w:widowControl/>
              <w:jc w:val="left"/>
              <w:rPr>
                <w:rFonts w:ascii="Times New Roman" w:hAnsi="Times New Roman" w:eastAsia="方正仿宋_GBK" w:cs="Times New Roman"/>
                <w:color w:val="000000"/>
                <w:kern w:val="0"/>
                <w:sz w:val="24"/>
                <w:szCs w:val="24"/>
              </w:rPr>
            </w:pPr>
          </w:p>
        </w:tc>
        <w:tc>
          <w:tcPr>
            <w:tcW w:w="1623" w:type="dxa"/>
            <w:tcBorders>
              <w:top w:val="single" w:color="auto" w:sz="8" w:space="0"/>
              <w:left w:val="nil"/>
              <w:bottom w:val="single" w:color="auto" w:sz="8" w:space="0"/>
              <w:right w:val="single" w:color="auto" w:sz="8" w:space="0"/>
            </w:tcBorders>
            <w:shd w:val="clear" w:color="auto" w:fill="auto"/>
            <w:vAlign w:val="center"/>
          </w:tcPr>
          <w:p w14:paraId="32278A56">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D3生态效益</w:t>
            </w:r>
          </w:p>
        </w:tc>
        <w:tc>
          <w:tcPr>
            <w:tcW w:w="3402" w:type="dxa"/>
            <w:tcBorders>
              <w:top w:val="single" w:color="auto" w:sz="8" w:space="0"/>
              <w:left w:val="nil"/>
              <w:bottom w:val="single" w:color="auto" w:sz="8" w:space="0"/>
              <w:right w:val="single" w:color="auto" w:sz="8" w:space="0"/>
            </w:tcBorders>
            <w:shd w:val="clear" w:color="auto" w:fill="auto"/>
            <w:vAlign w:val="center"/>
          </w:tcPr>
          <w:p w14:paraId="2210474F">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3686" w:type="dxa"/>
            <w:tcBorders>
              <w:top w:val="single" w:color="auto" w:sz="8" w:space="0"/>
              <w:left w:val="nil"/>
              <w:bottom w:val="single" w:color="auto" w:sz="8" w:space="0"/>
              <w:right w:val="single" w:color="auto" w:sz="8" w:space="0"/>
            </w:tcBorders>
            <w:shd w:val="clear" w:color="auto" w:fill="auto"/>
            <w:vAlign w:val="center"/>
          </w:tcPr>
          <w:p w14:paraId="4B13B376">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2551" w:type="dxa"/>
            <w:tcBorders>
              <w:top w:val="single" w:color="auto" w:sz="8" w:space="0"/>
              <w:left w:val="nil"/>
              <w:bottom w:val="single" w:color="auto" w:sz="8" w:space="0"/>
              <w:right w:val="single" w:color="auto" w:sz="8" w:space="0"/>
            </w:tcBorders>
          </w:tcPr>
          <w:p w14:paraId="69074E6D">
            <w:pPr>
              <w:widowControl/>
              <w:jc w:val="left"/>
              <w:rPr>
                <w:rFonts w:ascii="Times New Roman" w:hAnsi="Times New Roman" w:eastAsia="方正仿宋_GBK" w:cs="Times New Roman"/>
                <w:color w:val="000000"/>
                <w:kern w:val="0"/>
                <w:sz w:val="24"/>
                <w:szCs w:val="24"/>
              </w:rPr>
            </w:pPr>
          </w:p>
        </w:tc>
        <w:tc>
          <w:tcPr>
            <w:tcW w:w="851" w:type="dxa"/>
            <w:vMerge w:val="continue"/>
            <w:tcBorders>
              <w:top w:val="single" w:color="auto" w:sz="4" w:space="0"/>
              <w:left w:val="single" w:color="auto" w:sz="8" w:space="0"/>
              <w:bottom w:val="single" w:color="auto" w:sz="4" w:space="0"/>
              <w:right w:val="single" w:color="auto" w:sz="8" w:space="0"/>
            </w:tcBorders>
          </w:tcPr>
          <w:p w14:paraId="5EE960E0">
            <w:pPr>
              <w:widowControl/>
              <w:jc w:val="left"/>
              <w:rPr>
                <w:rFonts w:ascii="Times New Roman" w:hAnsi="Times New Roman" w:eastAsia="方正仿宋_GBK" w:cs="Times New Roman"/>
                <w:color w:val="000000"/>
                <w:kern w:val="0"/>
                <w:sz w:val="24"/>
                <w:szCs w:val="24"/>
              </w:rPr>
            </w:pPr>
          </w:p>
        </w:tc>
        <w:tc>
          <w:tcPr>
            <w:tcW w:w="992" w:type="dxa"/>
            <w:vMerge w:val="continue"/>
            <w:tcBorders>
              <w:top w:val="single" w:color="auto" w:sz="4" w:space="0"/>
              <w:left w:val="single" w:color="auto" w:sz="8" w:space="0"/>
              <w:bottom w:val="single" w:color="auto" w:sz="4" w:space="0"/>
              <w:right w:val="single" w:color="auto" w:sz="8" w:space="0"/>
            </w:tcBorders>
            <w:shd w:val="clear" w:color="auto" w:fill="auto"/>
            <w:vAlign w:val="center"/>
          </w:tcPr>
          <w:p w14:paraId="12FADF65">
            <w:pPr>
              <w:widowControl/>
              <w:jc w:val="left"/>
              <w:rPr>
                <w:rFonts w:ascii="Times New Roman" w:hAnsi="Times New Roman" w:eastAsia="方正仿宋_GBK" w:cs="Times New Roman"/>
                <w:color w:val="000000"/>
                <w:kern w:val="0"/>
                <w:sz w:val="24"/>
                <w:szCs w:val="24"/>
              </w:rPr>
            </w:pPr>
          </w:p>
        </w:tc>
      </w:tr>
      <w:tr w14:paraId="7CB7E205">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664996BC">
            <w:pPr>
              <w:widowControl/>
              <w:jc w:val="left"/>
              <w:rPr>
                <w:rFonts w:ascii="Times New Roman" w:hAnsi="Times New Roman" w:eastAsia="方正仿宋_GBK" w:cs="Times New Roman"/>
                <w:color w:val="000000"/>
                <w:kern w:val="0"/>
                <w:sz w:val="24"/>
                <w:szCs w:val="24"/>
              </w:rPr>
            </w:pPr>
          </w:p>
        </w:tc>
        <w:tc>
          <w:tcPr>
            <w:tcW w:w="1623" w:type="dxa"/>
            <w:tcBorders>
              <w:top w:val="single" w:color="auto" w:sz="8" w:space="0"/>
              <w:left w:val="nil"/>
              <w:bottom w:val="single" w:color="auto" w:sz="8" w:space="0"/>
              <w:right w:val="single" w:color="auto" w:sz="8" w:space="0"/>
            </w:tcBorders>
            <w:shd w:val="clear" w:color="auto" w:fill="auto"/>
            <w:vAlign w:val="center"/>
          </w:tcPr>
          <w:p w14:paraId="28A28F02">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D4满意度</w:t>
            </w:r>
          </w:p>
        </w:tc>
        <w:tc>
          <w:tcPr>
            <w:tcW w:w="3402" w:type="dxa"/>
            <w:tcBorders>
              <w:top w:val="single" w:color="auto" w:sz="8" w:space="0"/>
              <w:left w:val="nil"/>
              <w:bottom w:val="single" w:color="auto" w:sz="8" w:space="0"/>
              <w:right w:val="single" w:color="auto" w:sz="8" w:space="0"/>
            </w:tcBorders>
            <w:shd w:val="clear" w:color="auto" w:fill="auto"/>
            <w:vAlign w:val="center"/>
          </w:tcPr>
          <w:p w14:paraId="2BC0BB58">
            <w:pPr>
              <w:widowControl/>
              <w:jc w:val="left"/>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服务对象满意度</w:t>
            </w:r>
          </w:p>
        </w:tc>
        <w:tc>
          <w:tcPr>
            <w:tcW w:w="3686" w:type="dxa"/>
            <w:tcBorders>
              <w:top w:val="single" w:color="auto" w:sz="8" w:space="0"/>
              <w:left w:val="nil"/>
              <w:bottom w:val="single" w:color="auto" w:sz="8" w:space="0"/>
              <w:right w:val="single" w:color="auto" w:sz="8" w:space="0"/>
            </w:tcBorders>
            <w:shd w:val="clear" w:color="auto" w:fill="auto"/>
            <w:vAlign w:val="center"/>
          </w:tcPr>
          <w:p w14:paraId="2F8F6EB5">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包含服务对象（可选）、管理对象（可选）、间接受益对象（可选）等</w:t>
            </w:r>
          </w:p>
        </w:tc>
        <w:tc>
          <w:tcPr>
            <w:tcW w:w="2551" w:type="dxa"/>
            <w:tcBorders>
              <w:top w:val="single" w:color="auto" w:sz="8" w:space="0"/>
              <w:left w:val="nil"/>
              <w:bottom w:val="single" w:color="auto" w:sz="8" w:space="0"/>
              <w:right w:val="single" w:color="auto" w:sz="8" w:space="0"/>
            </w:tcBorders>
          </w:tcPr>
          <w:p w14:paraId="65FA1988">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根据部门（单位）只能确定满意度的调查对象</w:t>
            </w:r>
          </w:p>
        </w:tc>
        <w:tc>
          <w:tcPr>
            <w:tcW w:w="851" w:type="dxa"/>
            <w:vMerge w:val="continue"/>
            <w:tcBorders>
              <w:top w:val="single" w:color="auto" w:sz="4" w:space="0"/>
              <w:left w:val="single" w:color="auto" w:sz="8" w:space="0"/>
              <w:bottom w:val="single" w:color="auto" w:sz="4" w:space="0"/>
              <w:right w:val="single" w:color="auto" w:sz="8" w:space="0"/>
            </w:tcBorders>
          </w:tcPr>
          <w:p w14:paraId="34D0B295">
            <w:pPr>
              <w:widowControl/>
              <w:jc w:val="left"/>
              <w:rPr>
                <w:rFonts w:ascii="Times New Roman" w:hAnsi="Times New Roman" w:eastAsia="方正仿宋_GBK" w:cs="Times New Roman"/>
                <w:color w:val="000000"/>
                <w:kern w:val="0"/>
                <w:sz w:val="24"/>
                <w:szCs w:val="24"/>
              </w:rPr>
            </w:pPr>
          </w:p>
        </w:tc>
        <w:tc>
          <w:tcPr>
            <w:tcW w:w="992" w:type="dxa"/>
            <w:vMerge w:val="continue"/>
            <w:tcBorders>
              <w:top w:val="single" w:color="auto" w:sz="4" w:space="0"/>
              <w:left w:val="single" w:color="auto" w:sz="8" w:space="0"/>
              <w:bottom w:val="single" w:color="auto" w:sz="4" w:space="0"/>
              <w:right w:val="single" w:color="auto" w:sz="8" w:space="0"/>
            </w:tcBorders>
            <w:shd w:val="clear" w:color="auto" w:fill="auto"/>
            <w:vAlign w:val="center"/>
          </w:tcPr>
          <w:p w14:paraId="042D983D">
            <w:pPr>
              <w:widowControl/>
              <w:jc w:val="left"/>
              <w:rPr>
                <w:rFonts w:ascii="Times New Roman" w:hAnsi="Times New Roman" w:eastAsia="方正仿宋_GBK" w:cs="Times New Roman"/>
                <w:color w:val="000000"/>
                <w:kern w:val="0"/>
                <w:sz w:val="24"/>
                <w:szCs w:val="24"/>
              </w:rPr>
            </w:pPr>
          </w:p>
        </w:tc>
      </w:tr>
      <w:tr w14:paraId="560B5546">
        <w:tblPrEx>
          <w:tblCellMar>
            <w:top w:w="0" w:type="dxa"/>
            <w:left w:w="108" w:type="dxa"/>
            <w:bottom w:w="0" w:type="dxa"/>
            <w:right w:w="108" w:type="dxa"/>
          </w:tblCellMar>
        </w:tblPrEx>
        <w:trPr>
          <w:trHeight w:val="600" w:hRule="atLeast"/>
        </w:trPr>
        <w:tc>
          <w:tcPr>
            <w:tcW w:w="1266" w:type="dxa"/>
            <w:vMerge w:val="restart"/>
            <w:tcBorders>
              <w:top w:val="single" w:color="auto" w:sz="8" w:space="0"/>
              <w:left w:val="single" w:color="auto" w:sz="8" w:space="0"/>
              <w:bottom w:val="single" w:color="auto" w:sz="8" w:space="0"/>
              <w:right w:val="single" w:color="auto" w:sz="8" w:space="0"/>
            </w:tcBorders>
            <w:shd w:val="clear" w:color="auto" w:fill="auto"/>
            <w:noWrap/>
            <w:vAlign w:val="center"/>
          </w:tcPr>
          <w:p w14:paraId="09296E8A">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E可持续发展能力（5分）</w:t>
            </w:r>
          </w:p>
        </w:tc>
        <w:tc>
          <w:tcPr>
            <w:tcW w:w="1623" w:type="dxa"/>
            <w:tcBorders>
              <w:top w:val="single" w:color="auto" w:sz="8" w:space="0"/>
              <w:left w:val="nil"/>
              <w:bottom w:val="single" w:color="auto" w:sz="8" w:space="0"/>
              <w:right w:val="single" w:color="auto" w:sz="8" w:space="0"/>
            </w:tcBorders>
            <w:shd w:val="clear" w:color="auto" w:fill="auto"/>
            <w:vAlign w:val="center"/>
          </w:tcPr>
          <w:p w14:paraId="57030E67">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E1信息化建设情况（可选）</w:t>
            </w:r>
          </w:p>
        </w:tc>
        <w:tc>
          <w:tcPr>
            <w:tcW w:w="3402" w:type="dxa"/>
            <w:tcBorders>
              <w:top w:val="single" w:color="auto" w:sz="8" w:space="0"/>
              <w:left w:val="nil"/>
              <w:bottom w:val="single" w:color="auto" w:sz="8" w:space="0"/>
              <w:right w:val="single" w:color="auto" w:sz="8" w:space="0"/>
            </w:tcBorders>
            <w:shd w:val="clear" w:color="auto" w:fill="auto"/>
            <w:vAlign w:val="center"/>
          </w:tcPr>
          <w:p w14:paraId="4150D60B">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3686" w:type="dxa"/>
            <w:tcBorders>
              <w:top w:val="single" w:color="auto" w:sz="8" w:space="0"/>
              <w:left w:val="nil"/>
              <w:bottom w:val="single" w:color="auto" w:sz="8" w:space="0"/>
              <w:right w:val="single" w:color="auto" w:sz="8" w:space="0"/>
            </w:tcBorders>
            <w:shd w:val="clear" w:color="auto" w:fill="auto"/>
            <w:vAlign w:val="center"/>
          </w:tcPr>
          <w:p w14:paraId="04B87377">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办公流程、业务开展是否能通过单位的信息系统实现</w:t>
            </w:r>
          </w:p>
        </w:tc>
        <w:tc>
          <w:tcPr>
            <w:tcW w:w="2551" w:type="dxa"/>
            <w:tcBorders>
              <w:top w:val="single" w:color="auto" w:sz="8" w:space="0"/>
              <w:left w:val="nil"/>
              <w:bottom w:val="single" w:color="auto" w:sz="8" w:space="0"/>
              <w:right w:val="single" w:color="auto" w:sz="8" w:space="0"/>
            </w:tcBorders>
          </w:tcPr>
          <w:p w14:paraId="448A970A">
            <w:pPr>
              <w:ind w:firstLine="480"/>
              <w:jc w:val="center"/>
              <w:rPr>
                <w:rFonts w:ascii="Times New Roman" w:hAnsi="Times New Roman" w:eastAsia="方正仿宋_GBK" w:cs="Times New Roman"/>
                <w:color w:val="000000"/>
                <w:kern w:val="0"/>
                <w:sz w:val="24"/>
                <w:szCs w:val="24"/>
              </w:rPr>
            </w:pPr>
          </w:p>
        </w:tc>
        <w:tc>
          <w:tcPr>
            <w:tcW w:w="851" w:type="dxa"/>
            <w:vMerge w:val="restart"/>
            <w:tcBorders>
              <w:top w:val="single" w:color="auto" w:sz="4" w:space="0"/>
              <w:left w:val="single" w:color="auto" w:sz="8" w:space="0"/>
              <w:bottom w:val="single" w:color="auto" w:sz="4" w:space="0"/>
              <w:right w:val="single" w:color="auto" w:sz="8" w:space="0"/>
            </w:tcBorders>
            <w:vAlign w:val="center"/>
          </w:tcPr>
          <w:p w14:paraId="0D1C8C4A">
            <w:pPr>
              <w:ind w:firstLine="480"/>
              <w:jc w:val="center"/>
              <w:rPr>
                <w:rFonts w:ascii="Times New Roman" w:hAnsi="Times New Roman" w:eastAsia="方正仿宋_GBK" w:cs="Times New Roman"/>
                <w:color w:val="000000"/>
                <w:kern w:val="0"/>
                <w:sz w:val="24"/>
                <w:szCs w:val="24"/>
              </w:rPr>
            </w:pPr>
          </w:p>
          <w:p w14:paraId="7A620264">
            <w:pPr>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5分</w:t>
            </w:r>
          </w:p>
        </w:tc>
        <w:tc>
          <w:tcPr>
            <w:tcW w:w="992" w:type="dxa"/>
            <w:vMerge w:val="restart"/>
            <w:tcBorders>
              <w:top w:val="single" w:color="auto" w:sz="4" w:space="0"/>
              <w:left w:val="single" w:color="auto" w:sz="8" w:space="0"/>
              <w:bottom w:val="single" w:color="auto" w:sz="4" w:space="0"/>
              <w:right w:val="single" w:color="auto" w:sz="8" w:space="0"/>
            </w:tcBorders>
            <w:shd w:val="clear" w:color="auto" w:fill="auto"/>
            <w:vAlign w:val="center"/>
          </w:tcPr>
          <w:p w14:paraId="79D122E3">
            <w:pPr>
              <w:jc w:val="center"/>
              <w:rPr>
                <w:rFonts w:ascii="Times New Roman" w:hAnsi="Times New Roman" w:eastAsia="方正仿宋_GBK" w:cs="Times New Roman"/>
                <w:color w:val="000000"/>
                <w:kern w:val="0"/>
                <w:sz w:val="24"/>
                <w:szCs w:val="24"/>
              </w:rPr>
            </w:pPr>
          </w:p>
          <w:p w14:paraId="3C2DFA86">
            <w:pPr>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5分</w:t>
            </w:r>
          </w:p>
        </w:tc>
      </w:tr>
      <w:tr w14:paraId="3E1B94A3">
        <w:tblPrEx>
          <w:tblCellMar>
            <w:top w:w="0" w:type="dxa"/>
            <w:left w:w="108" w:type="dxa"/>
            <w:bottom w:w="0" w:type="dxa"/>
            <w:right w:w="108" w:type="dxa"/>
          </w:tblCellMar>
        </w:tblPrEx>
        <w:trPr>
          <w:trHeight w:val="571" w:hRule="atLeast"/>
        </w:trPr>
        <w:tc>
          <w:tcPr>
            <w:tcW w:w="1266" w:type="dxa"/>
            <w:vMerge w:val="continue"/>
            <w:tcBorders>
              <w:top w:val="single" w:color="auto" w:sz="8" w:space="0"/>
              <w:left w:val="single" w:color="auto" w:sz="8" w:space="0"/>
              <w:bottom w:val="single" w:color="auto" w:sz="8" w:space="0"/>
              <w:right w:val="single" w:color="auto" w:sz="8" w:space="0"/>
            </w:tcBorders>
            <w:vAlign w:val="center"/>
          </w:tcPr>
          <w:p w14:paraId="76F64AF1">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45282C69">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E2人力资源建设情况（可选）</w:t>
            </w:r>
          </w:p>
        </w:tc>
        <w:tc>
          <w:tcPr>
            <w:tcW w:w="3402" w:type="dxa"/>
            <w:tcBorders>
              <w:top w:val="nil"/>
              <w:left w:val="nil"/>
              <w:bottom w:val="single" w:color="auto" w:sz="8" w:space="0"/>
              <w:right w:val="single" w:color="auto" w:sz="8" w:space="0"/>
            </w:tcBorders>
            <w:shd w:val="clear" w:color="auto" w:fill="auto"/>
            <w:noWrap/>
            <w:vAlign w:val="center"/>
          </w:tcPr>
          <w:p w14:paraId="6812A7BF">
            <w:pPr>
              <w:widowControl/>
              <w:jc w:val="left"/>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　</w:t>
            </w:r>
          </w:p>
        </w:tc>
        <w:tc>
          <w:tcPr>
            <w:tcW w:w="3686" w:type="dxa"/>
            <w:tcBorders>
              <w:top w:val="nil"/>
              <w:left w:val="nil"/>
              <w:bottom w:val="single" w:color="auto" w:sz="8" w:space="0"/>
              <w:right w:val="single" w:color="auto" w:sz="8" w:space="0"/>
            </w:tcBorders>
            <w:shd w:val="clear" w:color="auto" w:fill="auto"/>
            <w:vAlign w:val="center"/>
          </w:tcPr>
          <w:p w14:paraId="4096E461">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包含人才培养计划、人才选拔运用、激励措施等</w:t>
            </w:r>
          </w:p>
        </w:tc>
        <w:tc>
          <w:tcPr>
            <w:tcW w:w="2551" w:type="dxa"/>
            <w:tcBorders>
              <w:top w:val="single" w:color="auto" w:sz="8" w:space="0"/>
              <w:left w:val="nil"/>
              <w:bottom w:val="single" w:color="auto" w:sz="8" w:space="0"/>
              <w:right w:val="single" w:color="auto" w:sz="8" w:space="0"/>
            </w:tcBorders>
          </w:tcPr>
          <w:p w14:paraId="73A47160">
            <w:pPr>
              <w:widowControl/>
              <w:jc w:val="left"/>
              <w:rPr>
                <w:rFonts w:ascii="Times New Roman" w:hAnsi="Times New Roman" w:eastAsia="方正仿宋_GBK" w:cs="Times New Roman"/>
                <w:color w:val="000000"/>
                <w:kern w:val="0"/>
                <w:sz w:val="22"/>
              </w:rPr>
            </w:pPr>
          </w:p>
        </w:tc>
        <w:tc>
          <w:tcPr>
            <w:tcW w:w="851" w:type="dxa"/>
            <w:vMerge w:val="continue"/>
            <w:tcBorders>
              <w:top w:val="single" w:color="auto" w:sz="4" w:space="0"/>
              <w:left w:val="single" w:color="auto" w:sz="8" w:space="0"/>
              <w:bottom w:val="single" w:color="auto" w:sz="4" w:space="0"/>
              <w:right w:val="single" w:color="auto" w:sz="8" w:space="0"/>
            </w:tcBorders>
          </w:tcPr>
          <w:p w14:paraId="2BD51A6D">
            <w:pPr>
              <w:widowControl/>
              <w:jc w:val="left"/>
              <w:rPr>
                <w:rFonts w:ascii="Times New Roman" w:hAnsi="Times New Roman" w:eastAsia="方正仿宋_GBK" w:cs="Times New Roman"/>
                <w:color w:val="000000"/>
                <w:kern w:val="0"/>
                <w:sz w:val="22"/>
              </w:rPr>
            </w:pPr>
          </w:p>
        </w:tc>
        <w:tc>
          <w:tcPr>
            <w:tcW w:w="992" w:type="dxa"/>
            <w:vMerge w:val="continue"/>
            <w:tcBorders>
              <w:top w:val="single" w:color="auto" w:sz="4" w:space="0"/>
              <w:left w:val="single" w:color="auto" w:sz="8" w:space="0"/>
              <w:bottom w:val="single" w:color="auto" w:sz="4" w:space="0"/>
              <w:right w:val="single" w:color="auto" w:sz="8" w:space="0"/>
            </w:tcBorders>
            <w:shd w:val="clear" w:color="auto" w:fill="auto"/>
            <w:noWrap/>
            <w:vAlign w:val="center"/>
          </w:tcPr>
          <w:p w14:paraId="4EF98769">
            <w:pPr>
              <w:widowControl/>
              <w:jc w:val="left"/>
              <w:rPr>
                <w:rFonts w:ascii="Times New Roman" w:hAnsi="Times New Roman" w:eastAsia="方正仿宋_GBK" w:cs="Times New Roman"/>
                <w:color w:val="000000"/>
                <w:kern w:val="0"/>
                <w:sz w:val="22"/>
              </w:rPr>
            </w:pPr>
          </w:p>
        </w:tc>
      </w:tr>
      <w:tr w14:paraId="4485FA54">
        <w:tblPrEx>
          <w:tblCellMar>
            <w:top w:w="0" w:type="dxa"/>
            <w:left w:w="108" w:type="dxa"/>
            <w:bottom w:w="0" w:type="dxa"/>
            <w:right w:w="108" w:type="dxa"/>
          </w:tblCellMar>
        </w:tblPrEx>
        <w:trPr>
          <w:trHeight w:val="600" w:hRule="atLeast"/>
        </w:trPr>
        <w:tc>
          <w:tcPr>
            <w:tcW w:w="1266" w:type="dxa"/>
            <w:vMerge w:val="continue"/>
            <w:tcBorders>
              <w:top w:val="single" w:color="auto" w:sz="8" w:space="0"/>
              <w:left w:val="single" w:color="auto" w:sz="8" w:space="0"/>
              <w:bottom w:val="single" w:color="auto" w:sz="8" w:space="0"/>
              <w:right w:val="single" w:color="auto" w:sz="8" w:space="0"/>
            </w:tcBorders>
            <w:vAlign w:val="center"/>
          </w:tcPr>
          <w:p w14:paraId="1C28B6EF">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5CD3DBE9">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E3部门创新情况（可选）</w:t>
            </w:r>
          </w:p>
        </w:tc>
        <w:tc>
          <w:tcPr>
            <w:tcW w:w="3402" w:type="dxa"/>
            <w:tcBorders>
              <w:top w:val="nil"/>
              <w:left w:val="nil"/>
              <w:bottom w:val="single" w:color="auto" w:sz="8" w:space="0"/>
              <w:right w:val="single" w:color="auto" w:sz="8" w:space="0"/>
            </w:tcBorders>
            <w:shd w:val="clear" w:color="auto" w:fill="auto"/>
            <w:noWrap/>
            <w:vAlign w:val="center"/>
          </w:tcPr>
          <w:p w14:paraId="26D01EC3">
            <w:pPr>
              <w:widowControl/>
              <w:jc w:val="left"/>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　</w:t>
            </w:r>
          </w:p>
        </w:tc>
        <w:tc>
          <w:tcPr>
            <w:tcW w:w="3686" w:type="dxa"/>
            <w:tcBorders>
              <w:top w:val="nil"/>
              <w:left w:val="nil"/>
              <w:bottom w:val="single" w:color="auto" w:sz="8" w:space="0"/>
              <w:right w:val="single" w:color="auto" w:sz="8" w:space="0"/>
            </w:tcBorders>
            <w:shd w:val="clear" w:color="auto" w:fill="auto"/>
            <w:noWrap/>
            <w:vAlign w:val="center"/>
          </w:tcPr>
          <w:p w14:paraId="42BA96F6">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包含制度创新、方法创新等</w:t>
            </w:r>
          </w:p>
        </w:tc>
        <w:tc>
          <w:tcPr>
            <w:tcW w:w="2551" w:type="dxa"/>
            <w:tcBorders>
              <w:top w:val="single" w:color="auto" w:sz="8" w:space="0"/>
              <w:left w:val="nil"/>
              <w:bottom w:val="single" w:color="auto" w:sz="8" w:space="0"/>
              <w:right w:val="single" w:color="auto" w:sz="8" w:space="0"/>
            </w:tcBorders>
          </w:tcPr>
          <w:p w14:paraId="5298A1C7">
            <w:pPr>
              <w:widowControl/>
              <w:spacing w:line="240" w:lineRule="exact"/>
              <w:jc w:val="left"/>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部门（单位）需提供创新案例被官方媒体报道的佐证材料</w:t>
            </w:r>
          </w:p>
        </w:tc>
        <w:tc>
          <w:tcPr>
            <w:tcW w:w="851" w:type="dxa"/>
            <w:vMerge w:val="continue"/>
            <w:tcBorders>
              <w:top w:val="single" w:color="auto" w:sz="4" w:space="0"/>
              <w:left w:val="single" w:color="auto" w:sz="8" w:space="0"/>
              <w:bottom w:val="single" w:color="auto" w:sz="4" w:space="0"/>
              <w:right w:val="single" w:color="auto" w:sz="8" w:space="0"/>
            </w:tcBorders>
          </w:tcPr>
          <w:p w14:paraId="0FCD2C0E">
            <w:pPr>
              <w:widowControl/>
              <w:jc w:val="left"/>
              <w:rPr>
                <w:rFonts w:ascii="Times New Roman" w:hAnsi="Times New Roman" w:eastAsia="方正仿宋_GBK" w:cs="Times New Roman"/>
                <w:color w:val="000000"/>
                <w:kern w:val="0"/>
                <w:sz w:val="22"/>
              </w:rPr>
            </w:pPr>
          </w:p>
        </w:tc>
        <w:tc>
          <w:tcPr>
            <w:tcW w:w="992" w:type="dxa"/>
            <w:vMerge w:val="continue"/>
            <w:tcBorders>
              <w:top w:val="single" w:color="auto" w:sz="4" w:space="0"/>
              <w:left w:val="single" w:color="auto" w:sz="8" w:space="0"/>
              <w:bottom w:val="single" w:color="auto" w:sz="4" w:space="0"/>
              <w:right w:val="single" w:color="auto" w:sz="8" w:space="0"/>
            </w:tcBorders>
            <w:shd w:val="clear" w:color="auto" w:fill="auto"/>
            <w:noWrap/>
            <w:vAlign w:val="center"/>
          </w:tcPr>
          <w:p w14:paraId="0FF4DF38">
            <w:pPr>
              <w:widowControl/>
              <w:jc w:val="left"/>
              <w:rPr>
                <w:rFonts w:ascii="Times New Roman" w:hAnsi="Times New Roman" w:eastAsia="方正仿宋_GBK" w:cs="Times New Roman"/>
                <w:color w:val="000000"/>
                <w:kern w:val="0"/>
                <w:sz w:val="22"/>
              </w:rPr>
            </w:pPr>
          </w:p>
        </w:tc>
      </w:tr>
      <w:tr w14:paraId="0FF341B9">
        <w:tblPrEx>
          <w:tblCellMar>
            <w:top w:w="0" w:type="dxa"/>
            <w:left w:w="108" w:type="dxa"/>
            <w:bottom w:w="0" w:type="dxa"/>
            <w:right w:w="108" w:type="dxa"/>
          </w:tblCellMar>
        </w:tblPrEx>
        <w:trPr>
          <w:trHeight w:val="923" w:hRule="atLeast"/>
        </w:trPr>
        <w:tc>
          <w:tcPr>
            <w:tcW w:w="1266" w:type="dxa"/>
            <w:vMerge w:val="restart"/>
            <w:tcBorders>
              <w:top w:val="nil"/>
              <w:left w:val="single" w:color="auto" w:sz="8" w:space="0"/>
              <w:bottom w:val="single" w:color="auto" w:sz="8" w:space="0"/>
              <w:right w:val="single" w:color="auto" w:sz="8" w:space="0"/>
            </w:tcBorders>
            <w:shd w:val="clear" w:color="auto" w:fill="auto"/>
            <w:noWrap/>
            <w:vAlign w:val="center"/>
          </w:tcPr>
          <w:p w14:paraId="146B85BD">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F加减分项（≤5分）</w:t>
            </w:r>
          </w:p>
        </w:tc>
        <w:tc>
          <w:tcPr>
            <w:tcW w:w="1623" w:type="dxa"/>
            <w:tcBorders>
              <w:top w:val="nil"/>
              <w:left w:val="nil"/>
              <w:bottom w:val="single" w:color="auto" w:sz="8" w:space="0"/>
              <w:right w:val="single" w:color="auto" w:sz="8" w:space="0"/>
            </w:tcBorders>
            <w:shd w:val="clear" w:color="auto" w:fill="auto"/>
            <w:vAlign w:val="center"/>
          </w:tcPr>
          <w:p w14:paraId="0CDE5764">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F1加分项</w:t>
            </w:r>
          </w:p>
        </w:tc>
        <w:tc>
          <w:tcPr>
            <w:tcW w:w="3402" w:type="dxa"/>
            <w:tcBorders>
              <w:top w:val="nil"/>
              <w:left w:val="nil"/>
              <w:bottom w:val="single" w:color="auto" w:sz="8" w:space="0"/>
              <w:right w:val="single" w:color="auto" w:sz="8" w:space="0"/>
            </w:tcBorders>
            <w:shd w:val="clear" w:color="auto" w:fill="auto"/>
            <w:vAlign w:val="center"/>
          </w:tcPr>
          <w:p w14:paraId="7D2262B1">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　</w:t>
            </w:r>
          </w:p>
        </w:tc>
        <w:tc>
          <w:tcPr>
            <w:tcW w:w="3686" w:type="dxa"/>
            <w:tcBorders>
              <w:top w:val="nil"/>
              <w:left w:val="nil"/>
              <w:bottom w:val="single" w:color="auto" w:sz="8" w:space="0"/>
              <w:right w:val="single" w:color="auto" w:sz="8" w:space="0"/>
            </w:tcBorders>
            <w:shd w:val="clear" w:color="auto" w:fill="auto"/>
            <w:vAlign w:val="center"/>
          </w:tcPr>
          <w:p w14:paraId="61F016F9">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部门（单位）受到国务院、省级、市级嘉奖</w:t>
            </w:r>
          </w:p>
        </w:tc>
        <w:tc>
          <w:tcPr>
            <w:tcW w:w="2551" w:type="dxa"/>
            <w:tcBorders>
              <w:top w:val="single" w:color="auto" w:sz="8" w:space="0"/>
              <w:left w:val="nil"/>
              <w:bottom w:val="single" w:color="auto" w:sz="8" w:space="0"/>
              <w:right w:val="single" w:color="auto" w:sz="8" w:space="0"/>
            </w:tcBorders>
          </w:tcPr>
          <w:p w14:paraId="1BAD3379">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受到国务院嘉奖加3分，受到省级嘉奖加2分，得到市级考核一等奖加1分，得到市级考核二等奖加0.5分；同一项工作不累计加分</w:t>
            </w:r>
          </w:p>
        </w:tc>
        <w:tc>
          <w:tcPr>
            <w:tcW w:w="851" w:type="dxa"/>
            <w:tcBorders>
              <w:top w:val="single" w:color="auto" w:sz="4" w:space="0"/>
              <w:left w:val="single" w:color="auto" w:sz="8" w:space="0"/>
              <w:bottom w:val="single" w:color="auto" w:sz="8" w:space="0"/>
              <w:right w:val="single" w:color="auto" w:sz="8" w:space="0"/>
            </w:tcBorders>
          </w:tcPr>
          <w:p w14:paraId="73F827F1">
            <w:pPr>
              <w:widowControl/>
              <w:jc w:val="center"/>
              <w:rPr>
                <w:rFonts w:ascii="Times New Roman" w:hAnsi="Times New Roman" w:eastAsia="方正仿宋_GBK" w:cs="Times New Roman"/>
                <w:color w:val="000000"/>
                <w:kern w:val="0"/>
                <w:sz w:val="24"/>
                <w:szCs w:val="24"/>
              </w:rPr>
            </w:pPr>
          </w:p>
        </w:tc>
        <w:tc>
          <w:tcPr>
            <w:tcW w:w="992" w:type="dxa"/>
            <w:tcBorders>
              <w:top w:val="single" w:color="auto" w:sz="4" w:space="0"/>
              <w:left w:val="single" w:color="auto" w:sz="8" w:space="0"/>
              <w:bottom w:val="single" w:color="auto" w:sz="8" w:space="0"/>
              <w:right w:val="single" w:color="auto" w:sz="8" w:space="0"/>
            </w:tcBorders>
            <w:shd w:val="clear" w:color="auto" w:fill="auto"/>
            <w:vAlign w:val="center"/>
          </w:tcPr>
          <w:p w14:paraId="6C806E5D">
            <w:pPr>
              <w:widowControl/>
              <w:jc w:val="center"/>
              <w:rPr>
                <w:rFonts w:hint="default" w:ascii="Times New Roman" w:hAnsi="Times New Roman" w:eastAsia="方正仿宋_GBK" w:cs="Times New Roman"/>
                <w:color w:val="000000"/>
                <w:kern w:val="0"/>
                <w:sz w:val="24"/>
                <w:szCs w:val="24"/>
                <w:lang w:val="en-US" w:eastAsia="zh-CN"/>
              </w:rPr>
            </w:pPr>
            <w:r>
              <w:rPr>
                <w:rFonts w:hint="eastAsia" w:ascii="Times New Roman" w:hAnsi="Times New Roman" w:eastAsia="方正仿宋_GBK" w:cs="Times New Roman"/>
                <w:color w:val="000000"/>
                <w:kern w:val="0"/>
                <w:sz w:val="24"/>
                <w:szCs w:val="24"/>
                <w:lang w:val="en-US" w:eastAsia="zh-CN"/>
              </w:rPr>
              <w:t>0.5分</w:t>
            </w:r>
          </w:p>
        </w:tc>
      </w:tr>
      <w:tr w14:paraId="3B0165C6">
        <w:tblPrEx>
          <w:tblCellMar>
            <w:top w:w="0" w:type="dxa"/>
            <w:left w:w="108" w:type="dxa"/>
            <w:bottom w:w="0" w:type="dxa"/>
            <w:right w:w="108" w:type="dxa"/>
          </w:tblCellMar>
        </w:tblPrEx>
        <w:trPr>
          <w:trHeight w:val="600" w:hRule="atLeast"/>
        </w:trPr>
        <w:tc>
          <w:tcPr>
            <w:tcW w:w="1266" w:type="dxa"/>
            <w:vMerge w:val="continue"/>
            <w:tcBorders>
              <w:top w:val="nil"/>
              <w:left w:val="single" w:color="auto" w:sz="8" w:space="0"/>
              <w:bottom w:val="single" w:color="auto" w:sz="8" w:space="0"/>
              <w:right w:val="single" w:color="auto" w:sz="8" w:space="0"/>
            </w:tcBorders>
            <w:vAlign w:val="center"/>
          </w:tcPr>
          <w:p w14:paraId="00A7BE0D">
            <w:pPr>
              <w:widowControl/>
              <w:jc w:val="left"/>
              <w:rPr>
                <w:rFonts w:ascii="Times New Roman" w:hAnsi="Times New Roman" w:eastAsia="方正仿宋_GBK" w:cs="Times New Roman"/>
                <w:color w:val="000000"/>
                <w:kern w:val="0"/>
                <w:sz w:val="24"/>
                <w:szCs w:val="24"/>
              </w:rPr>
            </w:pPr>
          </w:p>
        </w:tc>
        <w:tc>
          <w:tcPr>
            <w:tcW w:w="1623" w:type="dxa"/>
            <w:tcBorders>
              <w:top w:val="nil"/>
              <w:left w:val="nil"/>
              <w:bottom w:val="single" w:color="auto" w:sz="8" w:space="0"/>
              <w:right w:val="single" w:color="auto" w:sz="8" w:space="0"/>
            </w:tcBorders>
            <w:shd w:val="clear" w:color="auto" w:fill="auto"/>
            <w:vAlign w:val="center"/>
          </w:tcPr>
          <w:p w14:paraId="68AF9D01">
            <w:pPr>
              <w:widowControl/>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F2减分项</w:t>
            </w:r>
          </w:p>
        </w:tc>
        <w:tc>
          <w:tcPr>
            <w:tcW w:w="3402" w:type="dxa"/>
            <w:tcBorders>
              <w:top w:val="nil"/>
              <w:left w:val="nil"/>
              <w:bottom w:val="single" w:color="auto" w:sz="8" w:space="0"/>
              <w:right w:val="single" w:color="auto" w:sz="8" w:space="0"/>
            </w:tcBorders>
            <w:shd w:val="clear" w:color="auto" w:fill="auto"/>
            <w:noWrap/>
            <w:vAlign w:val="center"/>
          </w:tcPr>
          <w:p w14:paraId="605EF461">
            <w:pPr>
              <w:widowControl/>
              <w:jc w:val="left"/>
              <w:rPr>
                <w:rFonts w:ascii="Times New Roman" w:hAnsi="Times New Roman" w:eastAsia="方正仿宋_GBK" w:cs="Times New Roman"/>
                <w:color w:val="000000"/>
                <w:kern w:val="0"/>
                <w:sz w:val="22"/>
              </w:rPr>
            </w:pPr>
            <w:r>
              <w:rPr>
                <w:rFonts w:ascii="Times New Roman" w:hAnsi="Times New Roman" w:eastAsia="方正仿宋_GBK" w:cs="Times New Roman"/>
                <w:color w:val="000000"/>
                <w:kern w:val="0"/>
                <w:sz w:val="22"/>
              </w:rPr>
              <w:t>　</w:t>
            </w:r>
          </w:p>
        </w:tc>
        <w:tc>
          <w:tcPr>
            <w:tcW w:w="3686" w:type="dxa"/>
            <w:tcBorders>
              <w:top w:val="nil"/>
              <w:left w:val="nil"/>
              <w:bottom w:val="single" w:color="auto" w:sz="8" w:space="0"/>
              <w:right w:val="single" w:color="auto" w:sz="8" w:space="0"/>
            </w:tcBorders>
            <w:shd w:val="clear" w:color="auto" w:fill="auto"/>
            <w:vAlign w:val="center"/>
          </w:tcPr>
          <w:p w14:paraId="548DD623">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部门（单位）或工作人员违法违纪</w:t>
            </w:r>
          </w:p>
        </w:tc>
        <w:tc>
          <w:tcPr>
            <w:tcW w:w="2551" w:type="dxa"/>
            <w:tcBorders>
              <w:top w:val="single" w:color="auto" w:sz="8" w:space="0"/>
              <w:left w:val="nil"/>
              <w:bottom w:val="single" w:color="auto" w:sz="8" w:space="0"/>
              <w:right w:val="single" w:color="auto" w:sz="8" w:space="0"/>
            </w:tcBorders>
          </w:tcPr>
          <w:p w14:paraId="3809E708">
            <w:pPr>
              <w:widowControl/>
              <w:spacing w:line="240" w:lineRule="exact"/>
              <w:jc w:val="left"/>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酌情扣分</w:t>
            </w:r>
          </w:p>
        </w:tc>
        <w:tc>
          <w:tcPr>
            <w:tcW w:w="851" w:type="dxa"/>
            <w:tcBorders>
              <w:top w:val="single" w:color="auto" w:sz="8" w:space="0"/>
              <w:left w:val="single" w:color="auto" w:sz="8" w:space="0"/>
              <w:bottom w:val="single" w:color="auto" w:sz="8" w:space="0"/>
              <w:right w:val="single" w:color="auto" w:sz="8" w:space="0"/>
            </w:tcBorders>
          </w:tcPr>
          <w:p w14:paraId="55A2784D">
            <w:pPr>
              <w:widowControl/>
              <w:jc w:val="left"/>
              <w:rPr>
                <w:rFonts w:ascii="Times New Roman" w:hAnsi="Times New Roman" w:eastAsia="方正仿宋_GBK" w:cs="Times New Roman"/>
                <w:color w:val="000000"/>
                <w:kern w:val="0"/>
                <w:sz w:val="24"/>
                <w:szCs w:val="24"/>
              </w:rPr>
            </w:pPr>
          </w:p>
        </w:tc>
        <w:tc>
          <w:tcPr>
            <w:tcW w:w="992" w:type="dxa"/>
            <w:tcBorders>
              <w:top w:val="nil"/>
              <w:left w:val="single" w:color="auto" w:sz="8" w:space="0"/>
              <w:bottom w:val="single" w:color="auto" w:sz="8" w:space="0"/>
              <w:right w:val="single" w:color="auto" w:sz="8" w:space="0"/>
            </w:tcBorders>
            <w:shd w:val="clear" w:color="auto" w:fill="auto"/>
            <w:vAlign w:val="center"/>
          </w:tcPr>
          <w:p w14:paraId="0C5D438C">
            <w:pPr>
              <w:widowControl/>
              <w:jc w:val="left"/>
              <w:rPr>
                <w:rFonts w:ascii="Times New Roman" w:hAnsi="Times New Roman" w:eastAsia="方正仿宋_GBK" w:cs="Times New Roman"/>
                <w:color w:val="000000"/>
                <w:kern w:val="0"/>
                <w:sz w:val="24"/>
                <w:szCs w:val="24"/>
              </w:rPr>
            </w:pPr>
          </w:p>
        </w:tc>
      </w:tr>
    </w:tbl>
    <w:p w14:paraId="57F68653">
      <w:pPr>
        <w:spacing w:line="300" w:lineRule="auto"/>
        <w:rPr>
          <w:rFonts w:ascii="Times New Roman" w:hAnsi="Times New Roman" w:eastAsia="方正仿宋_GBK" w:cs="Times New Roman"/>
          <w:sz w:val="32"/>
          <w:szCs w:val="32"/>
        </w:rPr>
      </w:pPr>
    </w:p>
    <w:p w14:paraId="0899768C">
      <w:pPr>
        <w:spacing w:line="579" w:lineRule="exact"/>
        <w:rPr>
          <w:rFonts w:ascii="Times New Roman" w:hAnsi="Times New Roman" w:eastAsia="方正仿宋_GBK" w:cs="Times New Roman"/>
          <w:sz w:val="32"/>
          <w:szCs w:val="32"/>
        </w:rPr>
      </w:pPr>
    </w:p>
    <w:sectPr>
      <w:headerReference r:id="rId6" w:type="first"/>
      <w:footerReference r:id="rId9" w:type="first"/>
      <w:headerReference r:id="rId4" w:type="default"/>
      <w:footerReference r:id="rId7" w:type="default"/>
      <w:headerReference r:id="rId5" w:type="even"/>
      <w:footerReference r:id="rId8" w:type="even"/>
      <w:pgSz w:w="16838" w:h="11906" w:orient="landscape"/>
      <w:pgMar w:top="1588" w:right="2098" w:bottom="1588" w:left="170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6906663"/>
    </w:sdtPr>
    <w:sdtContent>
      <w:p w14:paraId="408ED809">
        <w:pPr>
          <w:pStyle w:val="9"/>
          <w:jc w:val="center"/>
        </w:pPr>
        <w:r>
          <w:rPr>
            <w:rFonts w:hint="eastAsia" w:ascii="宋体" w:hAnsi="宋体" w:eastAsia="宋体"/>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rPr>
          <w:t>─</w:t>
        </w:r>
        <w:r>
          <w:rPr>
            <w:rFonts w:hint="eastAsia" w:ascii="Times New Roman" w:hAnsi="Times New Roman" w:cs="Times New Roman"/>
            <w:sz w:val="28"/>
            <w:szCs w:val="28"/>
          </w:rPr>
          <w:t xml:space="preserve"> </w:t>
        </w:r>
      </w:p>
    </w:sdtContent>
  </w:sdt>
  <w:p w14:paraId="77AC748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8CB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8772">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AD0D3">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7D2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DF009">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F874">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72913"/>
    <w:rsid w:val="000073B3"/>
    <w:rsid w:val="0002577F"/>
    <w:rsid w:val="00073D75"/>
    <w:rsid w:val="0009152B"/>
    <w:rsid w:val="000A41EB"/>
    <w:rsid w:val="000E0DCB"/>
    <w:rsid w:val="000E0E2D"/>
    <w:rsid w:val="000E4F01"/>
    <w:rsid w:val="000F0C81"/>
    <w:rsid w:val="000F35D5"/>
    <w:rsid w:val="001076F9"/>
    <w:rsid w:val="00114878"/>
    <w:rsid w:val="00131560"/>
    <w:rsid w:val="0013512A"/>
    <w:rsid w:val="00175102"/>
    <w:rsid w:val="00186DB2"/>
    <w:rsid w:val="001A3224"/>
    <w:rsid w:val="001B7019"/>
    <w:rsid w:val="001C32D5"/>
    <w:rsid w:val="001F5315"/>
    <w:rsid w:val="00211EA3"/>
    <w:rsid w:val="0021491B"/>
    <w:rsid w:val="00234591"/>
    <w:rsid w:val="00237D61"/>
    <w:rsid w:val="00251905"/>
    <w:rsid w:val="00292520"/>
    <w:rsid w:val="002B3B57"/>
    <w:rsid w:val="002C4AF4"/>
    <w:rsid w:val="002C4FDE"/>
    <w:rsid w:val="002C7668"/>
    <w:rsid w:val="002D22EC"/>
    <w:rsid w:val="002D37ED"/>
    <w:rsid w:val="002D5D4B"/>
    <w:rsid w:val="002F4338"/>
    <w:rsid w:val="00310CF5"/>
    <w:rsid w:val="00344653"/>
    <w:rsid w:val="00367090"/>
    <w:rsid w:val="00381968"/>
    <w:rsid w:val="00386D58"/>
    <w:rsid w:val="00387ED4"/>
    <w:rsid w:val="003A1CA7"/>
    <w:rsid w:val="003A208F"/>
    <w:rsid w:val="003A3E33"/>
    <w:rsid w:val="003A6C74"/>
    <w:rsid w:val="003B08C4"/>
    <w:rsid w:val="003B5CA5"/>
    <w:rsid w:val="003D0037"/>
    <w:rsid w:val="003F36A9"/>
    <w:rsid w:val="00426ED8"/>
    <w:rsid w:val="00432982"/>
    <w:rsid w:val="00472913"/>
    <w:rsid w:val="00473056"/>
    <w:rsid w:val="00496AC0"/>
    <w:rsid w:val="004B53BF"/>
    <w:rsid w:val="004D0BC6"/>
    <w:rsid w:val="004E3134"/>
    <w:rsid w:val="004E5D66"/>
    <w:rsid w:val="004F6C0B"/>
    <w:rsid w:val="00516B9F"/>
    <w:rsid w:val="00525642"/>
    <w:rsid w:val="0056410C"/>
    <w:rsid w:val="0056612E"/>
    <w:rsid w:val="005C2568"/>
    <w:rsid w:val="005E3326"/>
    <w:rsid w:val="005F01FA"/>
    <w:rsid w:val="00631DA8"/>
    <w:rsid w:val="006355FD"/>
    <w:rsid w:val="006500BE"/>
    <w:rsid w:val="00652013"/>
    <w:rsid w:val="006B3DCD"/>
    <w:rsid w:val="006C306B"/>
    <w:rsid w:val="006C73B3"/>
    <w:rsid w:val="00711611"/>
    <w:rsid w:val="00712699"/>
    <w:rsid w:val="00732B08"/>
    <w:rsid w:val="00735F9D"/>
    <w:rsid w:val="0076089A"/>
    <w:rsid w:val="007629DB"/>
    <w:rsid w:val="007A062D"/>
    <w:rsid w:val="007A333D"/>
    <w:rsid w:val="007A5A34"/>
    <w:rsid w:val="007C409E"/>
    <w:rsid w:val="007D3357"/>
    <w:rsid w:val="007D56E8"/>
    <w:rsid w:val="00812A47"/>
    <w:rsid w:val="00834D2E"/>
    <w:rsid w:val="00865F47"/>
    <w:rsid w:val="00880209"/>
    <w:rsid w:val="00883B3F"/>
    <w:rsid w:val="008C3BE1"/>
    <w:rsid w:val="008E3D08"/>
    <w:rsid w:val="009202EB"/>
    <w:rsid w:val="0092642F"/>
    <w:rsid w:val="00926F8D"/>
    <w:rsid w:val="009356FE"/>
    <w:rsid w:val="00936E67"/>
    <w:rsid w:val="00942D0F"/>
    <w:rsid w:val="00971918"/>
    <w:rsid w:val="00995740"/>
    <w:rsid w:val="009C737E"/>
    <w:rsid w:val="009E0605"/>
    <w:rsid w:val="00A2038D"/>
    <w:rsid w:val="00A24850"/>
    <w:rsid w:val="00A26AED"/>
    <w:rsid w:val="00A44FF2"/>
    <w:rsid w:val="00A56ADD"/>
    <w:rsid w:val="00A64677"/>
    <w:rsid w:val="00A67900"/>
    <w:rsid w:val="00A73862"/>
    <w:rsid w:val="00A80A0D"/>
    <w:rsid w:val="00AA5EC2"/>
    <w:rsid w:val="00AB3510"/>
    <w:rsid w:val="00AF57DA"/>
    <w:rsid w:val="00B1667C"/>
    <w:rsid w:val="00B25BF9"/>
    <w:rsid w:val="00B4409A"/>
    <w:rsid w:val="00B66A0B"/>
    <w:rsid w:val="00B673A2"/>
    <w:rsid w:val="00BA0264"/>
    <w:rsid w:val="00BA2673"/>
    <w:rsid w:val="00BA51A4"/>
    <w:rsid w:val="00BA6F02"/>
    <w:rsid w:val="00BA7222"/>
    <w:rsid w:val="00BA7418"/>
    <w:rsid w:val="00BE7983"/>
    <w:rsid w:val="00C03418"/>
    <w:rsid w:val="00C17641"/>
    <w:rsid w:val="00C25DF1"/>
    <w:rsid w:val="00C517C5"/>
    <w:rsid w:val="00C56A58"/>
    <w:rsid w:val="00C62C66"/>
    <w:rsid w:val="00C666B9"/>
    <w:rsid w:val="00C73B63"/>
    <w:rsid w:val="00CA0AA0"/>
    <w:rsid w:val="00CB5632"/>
    <w:rsid w:val="00CB59B7"/>
    <w:rsid w:val="00CB6CF8"/>
    <w:rsid w:val="00CD5485"/>
    <w:rsid w:val="00CD76D9"/>
    <w:rsid w:val="00CE6A29"/>
    <w:rsid w:val="00CF6C5F"/>
    <w:rsid w:val="00D138D6"/>
    <w:rsid w:val="00D15B29"/>
    <w:rsid w:val="00D162AF"/>
    <w:rsid w:val="00D27440"/>
    <w:rsid w:val="00D30E03"/>
    <w:rsid w:val="00D31D52"/>
    <w:rsid w:val="00D35386"/>
    <w:rsid w:val="00D36102"/>
    <w:rsid w:val="00D5272F"/>
    <w:rsid w:val="00D5424A"/>
    <w:rsid w:val="00D847AA"/>
    <w:rsid w:val="00DC1649"/>
    <w:rsid w:val="00DC217C"/>
    <w:rsid w:val="00DD7B01"/>
    <w:rsid w:val="00DF23D1"/>
    <w:rsid w:val="00E00EFA"/>
    <w:rsid w:val="00E21248"/>
    <w:rsid w:val="00E37F90"/>
    <w:rsid w:val="00E62C6E"/>
    <w:rsid w:val="00E672E7"/>
    <w:rsid w:val="00E86A89"/>
    <w:rsid w:val="00EB1F5E"/>
    <w:rsid w:val="00EC00FF"/>
    <w:rsid w:val="00EE406A"/>
    <w:rsid w:val="00EF29A4"/>
    <w:rsid w:val="00F26D02"/>
    <w:rsid w:val="00F36BD4"/>
    <w:rsid w:val="00F81DBA"/>
    <w:rsid w:val="00F97636"/>
    <w:rsid w:val="00FC0E0D"/>
    <w:rsid w:val="00FF5291"/>
    <w:rsid w:val="015D339A"/>
    <w:rsid w:val="03D84125"/>
    <w:rsid w:val="04152EB3"/>
    <w:rsid w:val="060E46C2"/>
    <w:rsid w:val="06647C85"/>
    <w:rsid w:val="06B275A5"/>
    <w:rsid w:val="074561FA"/>
    <w:rsid w:val="07C34431"/>
    <w:rsid w:val="09036BB8"/>
    <w:rsid w:val="091132FC"/>
    <w:rsid w:val="0ADD081A"/>
    <w:rsid w:val="0CE9066E"/>
    <w:rsid w:val="0DCD0DF9"/>
    <w:rsid w:val="0DF36EA6"/>
    <w:rsid w:val="0E194431"/>
    <w:rsid w:val="109600A9"/>
    <w:rsid w:val="11307EC7"/>
    <w:rsid w:val="119F0464"/>
    <w:rsid w:val="11EE4031"/>
    <w:rsid w:val="11F65D04"/>
    <w:rsid w:val="12F56A68"/>
    <w:rsid w:val="13D256AD"/>
    <w:rsid w:val="15100481"/>
    <w:rsid w:val="189C50AA"/>
    <w:rsid w:val="1A7D2171"/>
    <w:rsid w:val="1A972A3C"/>
    <w:rsid w:val="1C4270C8"/>
    <w:rsid w:val="1CE303A9"/>
    <w:rsid w:val="1D0C64DC"/>
    <w:rsid w:val="1E7F54E7"/>
    <w:rsid w:val="1ED9219E"/>
    <w:rsid w:val="1F077119"/>
    <w:rsid w:val="1FF160FC"/>
    <w:rsid w:val="1FFF5D9B"/>
    <w:rsid w:val="21133EAA"/>
    <w:rsid w:val="21EE5194"/>
    <w:rsid w:val="24616E60"/>
    <w:rsid w:val="25414148"/>
    <w:rsid w:val="26205A3B"/>
    <w:rsid w:val="26525AD7"/>
    <w:rsid w:val="267D7B94"/>
    <w:rsid w:val="2875465C"/>
    <w:rsid w:val="29D63B28"/>
    <w:rsid w:val="2B183AF5"/>
    <w:rsid w:val="2B892F2B"/>
    <w:rsid w:val="2D9D2235"/>
    <w:rsid w:val="2E11668C"/>
    <w:rsid w:val="2E4B57F3"/>
    <w:rsid w:val="302C2534"/>
    <w:rsid w:val="3325148B"/>
    <w:rsid w:val="349A424D"/>
    <w:rsid w:val="35BF6BEA"/>
    <w:rsid w:val="37600D8F"/>
    <w:rsid w:val="3AA450A8"/>
    <w:rsid w:val="3ADD25A1"/>
    <w:rsid w:val="3C8F6360"/>
    <w:rsid w:val="3CFC7E62"/>
    <w:rsid w:val="3E201A70"/>
    <w:rsid w:val="40631C3B"/>
    <w:rsid w:val="41362F31"/>
    <w:rsid w:val="41F665AE"/>
    <w:rsid w:val="42DE6608"/>
    <w:rsid w:val="44290050"/>
    <w:rsid w:val="45906B3A"/>
    <w:rsid w:val="46A41B08"/>
    <w:rsid w:val="48A14B56"/>
    <w:rsid w:val="4AB00147"/>
    <w:rsid w:val="4CD710B8"/>
    <w:rsid w:val="4CFF2335"/>
    <w:rsid w:val="4D125A14"/>
    <w:rsid w:val="4D5A6BF3"/>
    <w:rsid w:val="4D635241"/>
    <w:rsid w:val="4DEE3723"/>
    <w:rsid w:val="4E1634ED"/>
    <w:rsid w:val="4E22323C"/>
    <w:rsid w:val="4E511008"/>
    <w:rsid w:val="4F2D3543"/>
    <w:rsid w:val="4FA616DF"/>
    <w:rsid w:val="4FB9443F"/>
    <w:rsid w:val="5020148D"/>
    <w:rsid w:val="50600920"/>
    <w:rsid w:val="51D923EB"/>
    <w:rsid w:val="52D36C9A"/>
    <w:rsid w:val="538C740E"/>
    <w:rsid w:val="53A065C9"/>
    <w:rsid w:val="53AE7C15"/>
    <w:rsid w:val="544132B2"/>
    <w:rsid w:val="544F243E"/>
    <w:rsid w:val="549142D4"/>
    <w:rsid w:val="55B662D9"/>
    <w:rsid w:val="56D3069F"/>
    <w:rsid w:val="56D63ED4"/>
    <w:rsid w:val="57C35A63"/>
    <w:rsid w:val="5A427D7C"/>
    <w:rsid w:val="5A560F28"/>
    <w:rsid w:val="5BE72E75"/>
    <w:rsid w:val="5CAC7619"/>
    <w:rsid w:val="5D6F0E7B"/>
    <w:rsid w:val="5E89517E"/>
    <w:rsid w:val="615D4EF9"/>
    <w:rsid w:val="61DC0C47"/>
    <w:rsid w:val="62031729"/>
    <w:rsid w:val="63852BB1"/>
    <w:rsid w:val="64464B08"/>
    <w:rsid w:val="69115248"/>
    <w:rsid w:val="6A5F1B64"/>
    <w:rsid w:val="6AB82FEB"/>
    <w:rsid w:val="6BDC10D8"/>
    <w:rsid w:val="6D2F6D57"/>
    <w:rsid w:val="6D823527"/>
    <w:rsid w:val="6DBC0566"/>
    <w:rsid w:val="6E143542"/>
    <w:rsid w:val="6E2D0260"/>
    <w:rsid w:val="6EC571B4"/>
    <w:rsid w:val="6F773BB9"/>
    <w:rsid w:val="70000DF6"/>
    <w:rsid w:val="707A2A76"/>
    <w:rsid w:val="71172EB8"/>
    <w:rsid w:val="715104CD"/>
    <w:rsid w:val="71576DDF"/>
    <w:rsid w:val="71A22B83"/>
    <w:rsid w:val="72A43FC4"/>
    <w:rsid w:val="72EC46CC"/>
    <w:rsid w:val="73571046"/>
    <w:rsid w:val="73E33B39"/>
    <w:rsid w:val="74B46446"/>
    <w:rsid w:val="74C468F8"/>
    <w:rsid w:val="74C64035"/>
    <w:rsid w:val="7556644F"/>
    <w:rsid w:val="759F1F00"/>
    <w:rsid w:val="75A03584"/>
    <w:rsid w:val="772123E3"/>
    <w:rsid w:val="78567246"/>
    <w:rsid w:val="78A92EF4"/>
    <w:rsid w:val="78CA77BC"/>
    <w:rsid w:val="7934713A"/>
    <w:rsid w:val="7A1253F6"/>
    <w:rsid w:val="7A466DE9"/>
    <w:rsid w:val="7AB408EE"/>
    <w:rsid w:val="7AED6F3F"/>
    <w:rsid w:val="7C932178"/>
    <w:rsid w:val="7D627B54"/>
    <w:rsid w:val="7E4B220B"/>
    <w:rsid w:val="7F0D16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eastAsia="宋体" w:cs="Times New Roman"/>
      <w:b/>
      <w:kern w:val="44"/>
      <w:sz w:val="44"/>
      <w:szCs w:val="44"/>
    </w:rPr>
  </w:style>
  <w:style w:type="paragraph" w:styleId="3">
    <w:name w:val="heading 2"/>
    <w:basedOn w:val="1"/>
    <w:next w:val="1"/>
    <w:link w:val="1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8"/>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6"/>
    <w:basedOn w:val="1"/>
    <w:next w:val="1"/>
    <w:link w:val="19"/>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0"/>
    <w:pPr>
      <w:suppressLineNumbers/>
      <w:suppressAutoHyphens/>
      <w:spacing w:before="120" w:after="120"/>
      <w:jc w:val="left"/>
    </w:pPr>
    <w:rPr>
      <w:rFonts w:ascii="Arial Unicode MS" w:hAnsi="Arial Unicode MS" w:eastAsia="Arial Unicode MS" w:cs="Arial Unicode MS"/>
      <w:i/>
      <w:iCs/>
      <w:kern w:val="0"/>
      <w:sz w:val="24"/>
      <w:szCs w:val="24"/>
      <w:lang w:val="zh-CN" w:bidi="zh-CN"/>
    </w:rPr>
  </w:style>
  <w:style w:type="paragraph" w:styleId="7">
    <w:name w:val="Body Text"/>
    <w:basedOn w:val="1"/>
    <w:qFormat/>
    <w:uiPriority w:val="1"/>
    <w:rPr>
      <w:rFonts w:ascii="方正仿宋_GBK" w:hAnsi="方正仿宋_GBK" w:eastAsia="方正仿宋_GBK" w:cs="方正仿宋_GBK"/>
      <w:sz w:val="32"/>
      <w:szCs w:val="32"/>
    </w:rPr>
  </w:style>
  <w:style w:type="paragraph" w:styleId="8">
    <w:name w:val="Balloon Text"/>
    <w:basedOn w:val="1"/>
    <w:link w:val="225"/>
    <w:semiHidden/>
    <w:unhideWhenUsed/>
    <w:qFormat/>
    <w:uiPriority w:val="99"/>
    <w:rPr>
      <w:sz w:val="18"/>
      <w:szCs w:val="18"/>
    </w:rPr>
  </w:style>
  <w:style w:type="paragraph" w:styleId="9">
    <w:name w:val="footer"/>
    <w:basedOn w:val="1"/>
    <w:link w:val="227"/>
    <w:unhideWhenUsed/>
    <w:qFormat/>
    <w:uiPriority w:val="99"/>
    <w:pPr>
      <w:tabs>
        <w:tab w:val="center" w:pos="4153"/>
        <w:tab w:val="right" w:pos="8306"/>
      </w:tabs>
      <w:snapToGrid w:val="0"/>
      <w:jc w:val="left"/>
    </w:pPr>
    <w:rPr>
      <w:sz w:val="18"/>
      <w:szCs w:val="18"/>
    </w:rPr>
  </w:style>
  <w:style w:type="paragraph" w:styleId="10">
    <w:name w:val="header"/>
    <w:basedOn w:val="1"/>
    <w:link w:val="2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FollowedHyperlink"/>
    <w:basedOn w:val="13"/>
    <w:semiHidden/>
    <w:unhideWhenUsed/>
    <w:qFormat/>
    <w:uiPriority w:val="99"/>
    <w:rPr>
      <w:color w:val="4C4C4C"/>
      <w:u w:val="none"/>
    </w:rPr>
  </w:style>
  <w:style w:type="character" w:styleId="16">
    <w:name w:val="Hyperlink"/>
    <w:basedOn w:val="13"/>
    <w:semiHidden/>
    <w:unhideWhenUsed/>
    <w:qFormat/>
    <w:uiPriority w:val="99"/>
    <w:rPr>
      <w:color w:val="4C4C4C"/>
      <w:u w:val="none"/>
    </w:rPr>
  </w:style>
  <w:style w:type="character" w:customStyle="1" w:styleId="17">
    <w:name w:val="标题 2 Char"/>
    <w:basedOn w:val="13"/>
    <w:link w:val="3"/>
    <w:qFormat/>
    <w:uiPriority w:val="9"/>
    <w:rPr>
      <w:rFonts w:ascii="宋体" w:hAnsi="宋体" w:eastAsia="宋体" w:cs="宋体"/>
      <w:b/>
      <w:bCs/>
      <w:kern w:val="0"/>
      <w:sz w:val="36"/>
      <w:szCs w:val="36"/>
    </w:rPr>
  </w:style>
  <w:style w:type="character" w:customStyle="1" w:styleId="18">
    <w:name w:val="标题 3 Char"/>
    <w:basedOn w:val="13"/>
    <w:link w:val="4"/>
    <w:qFormat/>
    <w:uiPriority w:val="9"/>
    <w:rPr>
      <w:rFonts w:ascii="宋体" w:hAnsi="宋体" w:eastAsia="宋体" w:cs="宋体"/>
      <w:b/>
      <w:bCs/>
      <w:kern w:val="0"/>
      <w:sz w:val="27"/>
      <w:szCs w:val="27"/>
    </w:rPr>
  </w:style>
  <w:style w:type="character" w:customStyle="1" w:styleId="19">
    <w:name w:val="标题 6 Char"/>
    <w:basedOn w:val="13"/>
    <w:link w:val="5"/>
    <w:qFormat/>
    <w:uiPriority w:val="9"/>
    <w:rPr>
      <w:rFonts w:ascii="宋体" w:hAnsi="宋体" w:eastAsia="宋体" w:cs="宋体"/>
      <w:b/>
      <w:bCs/>
      <w:kern w:val="0"/>
      <w:sz w:val="15"/>
      <w:szCs w:val="15"/>
    </w:rPr>
  </w:style>
  <w:style w:type="paragraph" w:customStyle="1" w:styleId="20">
    <w:name w:val="bdnon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
    <w:name w:val="clea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mt20"/>
    <w:basedOn w:val="1"/>
    <w:qFormat/>
    <w:uiPriority w:val="0"/>
    <w:pPr>
      <w:widowControl/>
      <w:spacing w:before="300" w:after="100" w:afterAutospacing="1"/>
      <w:jc w:val="left"/>
    </w:pPr>
    <w:rPr>
      <w:rFonts w:ascii="宋体" w:hAnsi="宋体" w:eastAsia="宋体" w:cs="宋体"/>
      <w:kern w:val="0"/>
      <w:sz w:val="24"/>
      <w:szCs w:val="24"/>
    </w:rPr>
  </w:style>
  <w:style w:type="paragraph" w:customStyle="1" w:styleId="23">
    <w:name w:val="mt15"/>
    <w:basedOn w:val="1"/>
    <w:qFormat/>
    <w:uiPriority w:val="0"/>
    <w:pPr>
      <w:widowControl/>
      <w:spacing w:before="225" w:after="100" w:afterAutospacing="1"/>
      <w:jc w:val="left"/>
    </w:pPr>
    <w:rPr>
      <w:rFonts w:ascii="宋体" w:hAnsi="宋体" w:eastAsia="宋体" w:cs="宋体"/>
      <w:kern w:val="0"/>
      <w:sz w:val="24"/>
      <w:szCs w:val="24"/>
    </w:rPr>
  </w:style>
  <w:style w:type="paragraph" w:customStyle="1" w:styleId="24">
    <w:name w:val="mt10"/>
    <w:basedOn w:val="1"/>
    <w:qFormat/>
    <w:uiPriority w:val="0"/>
    <w:pPr>
      <w:widowControl/>
      <w:spacing w:before="150" w:after="100" w:afterAutospacing="1"/>
      <w:jc w:val="left"/>
    </w:pPr>
    <w:rPr>
      <w:rFonts w:ascii="宋体" w:hAnsi="宋体" w:eastAsia="宋体" w:cs="宋体"/>
      <w:kern w:val="0"/>
      <w:sz w:val="24"/>
      <w:szCs w:val="24"/>
    </w:rPr>
  </w:style>
  <w:style w:type="paragraph" w:customStyle="1" w:styleId="25">
    <w:name w:val="ml20"/>
    <w:basedOn w:val="1"/>
    <w:qFormat/>
    <w:uiPriority w:val="0"/>
    <w:pPr>
      <w:widowControl/>
      <w:spacing w:before="100" w:beforeAutospacing="1" w:after="100" w:afterAutospacing="1"/>
      <w:ind w:left="300"/>
      <w:jc w:val="left"/>
    </w:pPr>
    <w:rPr>
      <w:rFonts w:ascii="宋体" w:hAnsi="宋体" w:eastAsia="宋体" w:cs="宋体"/>
      <w:kern w:val="0"/>
      <w:sz w:val="24"/>
      <w:szCs w:val="24"/>
    </w:rPr>
  </w:style>
  <w:style w:type="paragraph" w:customStyle="1" w:styleId="26">
    <w:name w:val="ml8"/>
    <w:basedOn w:val="1"/>
    <w:qFormat/>
    <w:uiPriority w:val="0"/>
    <w:pPr>
      <w:widowControl/>
      <w:spacing w:before="100" w:beforeAutospacing="1" w:after="100" w:afterAutospacing="1"/>
      <w:ind w:left="120"/>
      <w:jc w:val="left"/>
    </w:pPr>
    <w:rPr>
      <w:rFonts w:ascii="宋体" w:hAnsi="宋体" w:eastAsia="宋体" w:cs="宋体"/>
      <w:kern w:val="0"/>
      <w:sz w:val="24"/>
      <w:szCs w:val="24"/>
    </w:rPr>
  </w:style>
  <w:style w:type="paragraph" w:customStyle="1" w:styleId="27">
    <w:name w:val="mtb10"/>
    <w:basedOn w:val="1"/>
    <w:qFormat/>
    <w:uiPriority w:val="0"/>
    <w:pPr>
      <w:widowControl/>
      <w:spacing w:before="150" w:after="150"/>
      <w:jc w:val="left"/>
    </w:pPr>
    <w:rPr>
      <w:rFonts w:ascii="宋体" w:hAnsi="宋体" w:eastAsia="宋体" w:cs="宋体"/>
      <w:kern w:val="0"/>
      <w:sz w:val="24"/>
      <w:szCs w:val="24"/>
    </w:rPr>
  </w:style>
  <w:style w:type="paragraph" w:customStyle="1" w:styleId="28">
    <w:name w:val="top_b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
    <w:name w:val="top"/>
    <w:basedOn w:val="1"/>
    <w:qFormat/>
    <w:uiPriority w:val="0"/>
    <w:pPr>
      <w:widowControl/>
      <w:spacing w:line="450" w:lineRule="atLeast"/>
      <w:jc w:val="left"/>
    </w:pPr>
    <w:rPr>
      <w:rFonts w:ascii="宋体" w:hAnsi="宋体" w:eastAsia="宋体" w:cs="宋体"/>
      <w:kern w:val="0"/>
      <w:sz w:val="24"/>
      <w:szCs w:val="24"/>
    </w:rPr>
  </w:style>
  <w:style w:type="paragraph" w:customStyle="1" w:styleId="30">
    <w:name w:val="页眉1"/>
    <w:basedOn w:val="1"/>
    <w:qFormat/>
    <w:uiPriority w:val="0"/>
    <w:pPr>
      <w:widowControl/>
      <w:spacing w:line="2670" w:lineRule="atLeast"/>
      <w:jc w:val="left"/>
    </w:pPr>
    <w:rPr>
      <w:rFonts w:ascii="宋体" w:hAnsi="宋体" w:eastAsia="宋体" w:cs="宋体"/>
      <w:kern w:val="0"/>
      <w:sz w:val="24"/>
      <w:szCs w:val="24"/>
    </w:rPr>
  </w:style>
  <w:style w:type="paragraph" w:customStyle="1" w:styleId="31">
    <w:name w:val="dropselect_simpleselect"/>
    <w:basedOn w:val="1"/>
    <w:qFormat/>
    <w:uiPriority w:val="0"/>
    <w:pPr>
      <w:widowControl/>
      <w:shd w:val="clear" w:color="auto" w:fill="FFFFFF"/>
      <w:spacing w:before="100" w:beforeAutospacing="1" w:after="100" w:afterAutospacing="1" w:line="540" w:lineRule="atLeast"/>
      <w:ind w:firstLine="150"/>
      <w:jc w:val="left"/>
    </w:pPr>
    <w:rPr>
      <w:rFonts w:ascii="宋体" w:hAnsi="宋体" w:eastAsia="宋体" w:cs="宋体"/>
      <w:kern w:val="0"/>
      <w:sz w:val="24"/>
      <w:szCs w:val="24"/>
    </w:rPr>
  </w:style>
  <w:style w:type="paragraph" w:customStyle="1" w:styleId="32">
    <w:name w:val="search_text"/>
    <w:basedOn w:val="1"/>
    <w:qFormat/>
    <w:uiPriority w:val="0"/>
    <w:pPr>
      <w:widowControl/>
      <w:spacing w:before="100" w:beforeAutospacing="1" w:after="100" w:afterAutospacing="1" w:line="540" w:lineRule="atLeast"/>
      <w:ind w:firstLine="150"/>
      <w:jc w:val="left"/>
    </w:pPr>
    <w:rPr>
      <w:rFonts w:ascii="宋体" w:hAnsi="宋体" w:eastAsia="宋体" w:cs="宋体"/>
      <w:color w:val="333333"/>
      <w:kern w:val="0"/>
      <w:sz w:val="24"/>
      <w:szCs w:val="24"/>
    </w:rPr>
  </w:style>
  <w:style w:type="paragraph" w:customStyle="1" w:styleId="33">
    <w:name w:val="search_sub"/>
    <w:basedOn w:val="1"/>
    <w:qFormat/>
    <w:uiPriority w:val="0"/>
    <w:pPr>
      <w:widowControl/>
      <w:shd w:val="clear" w:color="auto" w:fill="569AD4"/>
      <w:spacing w:before="100" w:beforeAutospacing="1" w:after="100" w:afterAutospacing="1"/>
      <w:jc w:val="left"/>
    </w:pPr>
    <w:rPr>
      <w:rFonts w:ascii="宋体" w:hAnsi="宋体" w:eastAsia="宋体" w:cs="宋体"/>
      <w:color w:val="FFFFFF"/>
      <w:kern w:val="0"/>
      <w:sz w:val="24"/>
      <w:szCs w:val="24"/>
    </w:rPr>
  </w:style>
  <w:style w:type="paragraph" w:customStyle="1" w:styleId="34">
    <w:name w:val="nav"/>
    <w:basedOn w:val="1"/>
    <w:qFormat/>
    <w:uiPriority w:val="0"/>
    <w:pPr>
      <w:widowControl/>
      <w:pBdr>
        <w:top w:val="single" w:color="484848" w:sz="18" w:space="0"/>
      </w:pBdr>
      <w:jc w:val="left"/>
    </w:pPr>
    <w:rPr>
      <w:rFonts w:ascii="宋体" w:hAnsi="宋体" w:eastAsia="宋体" w:cs="宋体"/>
      <w:kern w:val="0"/>
      <w:sz w:val="24"/>
      <w:szCs w:val="24"/>
    </w:rPr>
  </w:style>
  <w:style w:type="paragraph" w:customStyle="1" w:styleId="35">
    <w:name w:val="friend_link_box"/>
    <w:basedOn w:val="1"/>
    <w:qFormat/>
    <w:uiPriority w:val="0"/>
    <w:pPr>
      <w:widowControl/>
      <w:pBdr>
        <w:top w:val="single" w:color="1A5DB1" w:sz="6" w:space="0"/>
      </w:pBdr>
      <w:shd w:val="clear" w:color="auto" w:fill="F8F8F8"/>
      <w:spacing w:before="100" w:beforeAutospacing="1" w:after="100" w:afterAutospacing="1"/>
      <w:jc w:val="left"/>
    </w:pPr>
    <w:rPr>
      <w:rFonts w:ascii="宋体" w:hAnsi="宋体" w:eastAsia="宋体" w:cs="宋体"/>
      <w:kern w:val="0"/>
      <w:sz w:val="24"/>
      <w:szCs w:val="24"/>
    </w:rPr>
  </w:style>
  <w:style w:type="paragraph" w:customStyle="1" w:styleId="36">
    <w:name w:val="friend_link"/>
    <w:basedOn w:val="1"/>
    <w:qFormat/>
    <w:uiPriority w:val="0"/>
    <w:pPr>
      <w:widowControl/>
      <w:spacing w:line="900" w:lineRule="atLeast"/>
      <w:jc w:val="left"/>
    </w:pPr>
    <w:rPr>
      <w:rFonts w:ascii="宋体" w:hAnsi="宋体" w:eastAsia="宋体" w:cs="宋体"/>
      <w:kern w:val="0"/>
      <w:sz w:val="24"/>
      <w:szCs w:val="24"/>
    </w:rPr>
  </w:style>
  <w:style w:type="paragraph" w:customStyle="1" w:styleId="37">
    <w:name w:val="dropselect_simpleselect1"/>
    <w:basedOn w:val="1"/>
    <w:qFormat/>
    <w:uiPriority w:val="0"/>
    <w:pPr>
      <w:widowControl/>
      <w:shd w:val="clear" w:color="auto" w:fill="DEE6F0"/>
      <w:spacing w:before="100" w:beforeAutospacing="1" w:after="100" w:afterAutospacing="1" w:line="525" w:lineRule="atLeast"/>
      <w:ind w:firstLine="150"/>
      <w:jc w:val="left"/>
    </w:pPr>
    <w:rPr>
      <w:rFonts w:ascii="宋体" w:hAnsi="宋体" w:eastAsia="宋体" w:cs="宋体"/>
      <w:kern w:val="0"/>
      <w:sz w:val="24"/>
      <w:szCs w:val="24"/>
    </w:rPr>
  </w:style>
  <w:style w:type="paragraph" w:customStyle="1" w:styleId="38">
    <w:name w:val="hidden"/>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39">
    <w:name w:val="页脚1"/>
    <w:basedOn w:val="1"/>
    <w:qFormat/>
    <w:uiPriority w:val="0"/>
    <w:pPr>
      <w:widowControl/>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40">
    <w:name w:val="foot_info"/>
    <w:basedOn w:val="1"/>
    <w:qFormat/>
    <w:uiPriority w:val="0"/>
    <w:pPr>
      <w:widowControl/>
      <w:jc w:val="left"/>
    </w:pPr>
    <w:rPr>
      <w:rFonts w:ascii="宋体" w:hAnsi="宋体" w:eastAsia="宋体" w:cs="宋体"/>
      <w:kern w:val="0"/>
      <w:sz w:val="24"/>
      <w:szCs w:val="24"/>
    </w:rPr>
  </w:style>
  <w:style w:type="paragraph" w:customStyle="1" w:styleId="41">
    <w:name w:val="tit_ta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main"/>
    <w:basedOn w:val="1"/>
    <w:qFormat/>
    <w:uiPriority w:val="0"/>
    <w:pPr>
      <w:widowControl/>
      <w:jc w:val="left"/>
    </w:pPr>
    <w:rPr>
      <w:rFonts w:ascii="宋体" w:hAnsi="宋体" w:eastAsia="宋体" w:cs="宋体"/>
      <w:kern w:val="0"/>
      <w:sz w:val="24"/>
      <w:szCs w:val="24"/>
    </w:rPr>
  </w:style>
  <w:style w:type="paragraph" w:customStyle="1" w:styleId="43">
    <w:name w:val="wd_lef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
    <w:name w:val="wd_mi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
    <w:name w:val="wd_righ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title"/>
    <w:basedOn w:val="1"/>
    <w:qFormat/>
    <w:uiPriority w:val="0"/>
    <w:pPr>
      <w:widowControl/>
      <w:pBdr>
        <w:top w:val="single" w:color="484848" w:sz="18" w:space="0"/>
      </w:pBdr>
      <w:spacing w:before="100" w:beforeAutospacing="1" w:after="100" w:afterAutospacing="1"/>
      <w:jc w:val="center"/>
    </w:pPr>
    <w:rPr>
      <w:rFonts w:ascii="宋体" w:hAnsi="宋体" w:eastAsia="宋体" w:cs="宋体"/>
      <w:kern w:val="0"/>
      <w:sz w:val="24"/>
      <w:szCs w:val="24"/>
    </w:rPr>
  </w:style>
  <w:style w:type="paragraph" w:customStyle="1" w:styleId="47">
    <w:name w:val="list"/>
    <w:basedOn w:val="1"/>
    <w:qFormat/>
    <w:uiPriority w:val="0"/>
    <w:pPr>
      <w:widowControl/>
      <w:spacing w:before="225" w:after="100" w:afterAutospacing="1"/>
      <w:jc w:val="left"/>
    </w:pPr>
    <w:rPr>
      <w:rFonts w:ascii="宋体" w:hAnsi="宋体" w:eastAsia="宋体" w:cs="宋体"/>
      <w:vanish/>
      <w:kern w:val="0"/>
      <w:sz w:val="24"/>
      <w:szCs w:val="24"/>
    </w:rPr>
  </w:style>
  <w:style w:type="paragraph" w:customStyle="1" w:styleId="48">
    <w:name w:val="ztz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
    <w:name w:val="sc_wd26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
    <w:name w:val="sc_wd42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1">
    <w:name w:val="wd86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path"/>
    <w:basedOn w:val="1"/>
    <w:qFormat/>
    <w:uiPriority w:val="0"/>
    <w:pPr>
      <w:widowControl/>
      <w:shd w:val="clear" w:color="auto" w:fill="F8F8F8"/>
      <w:spacing w:before="100" w:beforeAutospacing="1" w:after="100" w:afterAutospacing="1" w:line="675" w:lineRule="atLeast"/>
      <w:jc w:val="left"/>
    </w:pPr>
    <w:rPr>
      <w:rFonts w:ascii="宋体" w:hAnsi="宋体" w:eastAsia="宋体" w:cs="宋体"/>
      <w:kern w:val="0"/>
      <w:szCs w:val="21"/>
    </w:rPr>
  </w:style>
  <w:style w:type="paragraph" w:customStyle="1" w:styleId="53">
    <w:name w:val="curpo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
    <w:name w:val="main_list_lef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
    <w:name w:val="sc_title"/>
    <w:basedOn w:val="1"/>
    <w:qFormat/>
    <w:uiPriority w:val="0"/>
    <w:pPr>
      <w:widowControl/>
      <w:pBdr>
        <w:top w:val="single" w:color="1A5DB1" w:sz="18" w:space="0"/>
      </w:pBdr>
      <w:shd w:val="clear" w:color="auto" w:fill="F1F5F7"/>
      <w:spacing w:before="100" w:beforeAutospacing="1" w:after="100" w:afterAutospacing="1" w:line="750" w:lineRule="atLeast"/>
      <w:jc w:val="left"/>
    </w:pPr>
    <w:rPr>
      <w:rFonts w:ascii="宋体" w:hAnsi="宋体" w:eastAsia="宋体" w:cs="宋体"/>
      <w:kern w:val="0"/>
      <w:sz w:val="24"/>
      <w:szCs w:val="24"/>
    </w:rPr>
  </w:style>
  <w:style w:type="paragraph" w:customStyle="1" w:styleId="56">
    <w:name w:val="leader"/>
    <w:basedOn w:val="1"/>
    <w:qFormat/>
    <w:uiPriority w:val="0"/>
    <w:pPr>
      <w:widowControl/>
      <w:pBdr>
        <w:top w:val="single" w:color="FFFFFF" w:sz="6" w:space="8"/>
      </w:pBdr>
      <w:shd w:val="clear" w:color="auto" w:fill="F8F8F8"/>
      <w:spacing w:before="100" w:beforeAutospacing="1" w:after="100" w:afterAutospacing="1"/>
      <w:jc w:val="left"/>
    </w:pPr>
    <w:rPr>
      <w:rFonts w:ascii="宋体" w:hAnsi="宋体" w:eastAsia="宋体" w:cs="宋体"/>
      <w:kern w:val="0"/>
      <w:sz w:val="24"/>
      <w:szCs w:val="24"/>
    </w:rPr>
  </w:style>
  <w:style w:type="paragraph" w:customStyle="1" w:styleId="57">
    <w:name w:val="tab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
    <w:name w:val="hdjl_main"/>
    <w:basedOn w:val="1"/>
    <w:qFormat/>
    <w:uiPriority w:val="0"/>
    <w:pPr>
      <w:widowControl/>
      <w:spacing w:before="150" w:after="100" w:afterAutospacing="1"/>
      <w:jc w:val="left"/>
    </w:pPr>
    <w:rPr>
      <w:rFonts w:ascii="宋体" w:hAnsi="宋体" w:eastAsia="宋体" w:cs="宋体"/>
      <w:kern w:val="0"/>
      <w:sz w:val="24"/>
      <w:szCs w:val="24"/>
    </w:rPr>
  </w:style>
  <w:style w:type="paragraph" w:customStyle="1" w:styleId="59">
    <w:name w:val="hdjl_zjdc"/>
    <w:basedOn w:val="1"/>
    <w:qFormat/>
    <w:uiPriority w:val="0"/>
    <w:pPr>
      <w:widowControl/>
      <w:spacing w:before="100" w:beforeAutospacing="1" w:after="300"/>
      <w:jc w:val="left"/>
    </w:pPr>
    <w:rPr>
      <w:rFonts w:ascii="宋体" w:hAnsi="宋体" w:eastAsia="宋体" w:cs="宋体"/>
      <w:kern w:val="0"/>
      <w:sz w:val="24"/>
      <w:szCs w:val="24"/>
    </w:rPr>
  </w:style>
  <w:style w:type="paragraph" w:customStyle="1" w:styleId="60">
    <w:name w:val="hdjl_main_left"/>
    <w:basedOn w:val="1"/>
    <w:qFormat/>
    <w:uiPriority w:val="0"/>
    <w:pPr>
      <w:widowControl/>
      <w:pBdr>
        <w:right w:val="single" w:color="E5E5E5" w:sz="6" w:space="0"/>
      </w:pBdr>
      <w:spacing w:before="100" w:beforeAutospacing="1" w:after="100" w:afterAutospacing="1"/>
      <w:jc w:val="left"/>
    </w:pPr>
    <w:rPr>
      <w:rFonts w:ascii="宋体" w:hAnsi="宋体" w:eastAsia="宋体" w:cs="宋体"/>
      <w:kern w:val="0"/>
      <w:sz w:val="24"/>
      <w:szCs w:val="24"/>
    </w:rPr>
  </w:style>
  <w:style w:type="paragraph" w:customStyle="1" w:styleId="61">
    <w:name w:val="hdjl_main_righ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
    <w:name w:val="hd_zjdiv01"/>
    <w:basedOn w:val="1"/>
    <w:qFormat/>
    <w:uiPriority w:val="0"/>
    <w:pPr>
      <w:widowControl/>
      <w:pBdr>
        <w:bottom w:val="dashed" w:color="EBEBEB" w:sz="6" w:space="0"/>
        <w:right w:val="dashed" w:color="EBEBEB" w:sz="6" w:space="0"/>
      </w:pBdr>
      <w:spacing w:before="255" w:after="100" w:afterAutospacing="1"/>
      <w:ind w:left="300"/>
      <w:jc w:val="left"/>
    </w:pPr>
    <w:rPr>
      <w:rFonts w:ascii="宋体" w:hAnsi="宋体" w:eastAsia="宋体" w:cs="宋体"/>
      <w:kern w:val="0"/>
      <w:sz w:val="24"/>
      <w:szCs w:val="24"/>
    </w:rPr>
  </w:style>
  <w:style w:type="paragraph" w:customStyle="1" w:styleId="63">
    <w:name w:val="hd_zjdiv02"/>
    <w:basedOn w:val="1"/>
    <w:qFormat/>
    <w:uiPriority w:val="0"/>
    <w:pPr>
      <w:widowControl/>
      <w:pBdr>
        <w:bottom w:val="dashed" w:color="EBEBEB" w:sz="6" w:space="0"/>
      </w:pBdr>
      <w:spacing w:before="255" w:after="100" w:afterAutospacing="1"/>
      <w:jc w:val="left"/>
    </w:pPr>
    <w:rPr>
      <w:rFonts w:ascii="宋体" w:hAnsi="宋体" w:eastAsia="宋体" w:cs="宋体"/>
      <w:kern w:val="0"/>
      <w:sz w:val="24"/>
      <w:szCs w:val="24"/>
    </w:rPr>
  </w:style>
  <w:style w:type="paragraph" w:customStyle="1" w:styleId="64">
    <w:name w:val="hd_zjdiv03"/>
    <w:basedOn w:val="1"/>
    <w:qFormat/>
    <w:uiPriority w:val="0"/>
    <w:pPr>
      <w:widowControl/>
      <w:pBdr>
        <w:right w:val="dashed" w:color="EBEBEB" w:sz="6" w:space="0"/>
      </w:pBdr>
      <w:spacing w:before="100" w:beforeAutospacing="1" w:after="100" w:afterAutospacing="1"/>
      <w:ind w:left="300"/>
      <w:jc w:val="left"/>
    </w:pPr>
    <w:rPr>
      <w:rFonts w:ascii="宋体" w:hAnsi="宋体" w:eastAsia="宋体" w:cs="宋体"/>
      <w:kern w:val="0"/>
      <w:sz w:val="24"/>
      <w:szCs w:val="24"/>
    </w:rPr>
  </w:style>
  <w:style w:type="paragraph" w:customStyle="1" w:styleId="65">
    <w:name w:val="hd_zjdiv0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
    <w:name w:val="main_content"/>
    <w:basedOn w:val="1"/>
    <w:uiPriority w:val="0"/>
    <w:pPr>
      <w:widowControl/>
      <w:pBdr>
        <w:top w:val="single" w:color="1A5DB1" w:sz="18" w:space="26"/>
        <w:left w:val="single" w:color="E5E5E5" w:sz="18" w:space="16"/>
        <w:bottom w:val="single" w:color="E5E5E5" w:sz="18" w:space="26"/>
        <w:right w:val="single" w:color="E5E5E5" w:sz="18" w:space="16"/>
      </w:pBdr>
      <w:spacing w:before="150" w:after="100" w:afterAutospacing="1"/>
      <w:jc w:val="left"/>
    </w:pPr>
    <w:rPr>
      <w:rFonts w:ascii="宋体" w:hAnsi="宋体" w:eastAsia="宋体" w:cs="宋体"/>
      <w:kern w:val="0"/>
      <w:sz w:val="24"/>
      <w:szCs w:val="24"/>
    </w:rPr>
  </w:style>
  <w:style w:type="paragraph" w:customStyle="1" w:styleId="67">
    <w:name w:val="xxgk_top_frame"/>
    <w:basedOn w:val="1"/>
    <w:uiPriority w:val="0"/>
    <w:pPr>
      <w:widowControl/>
      <w:pBdr>
        <w:top w:val="single" w:color="CCCCCC" w:sz="6" w:space="0"/>
        <w:left w:val="single" w:color="CCCCCC" w:sz="6" w:space="0"/>
        <w:bottom w:val="single" w:color="CCCCCC" w:sz="6" w:space="0"/>
        <w:right w:val="single" w:color="CCCCCC" w:sz="6" w:space="0"/>
      </w:pBdr>
      <w:jc w:val="left"/>
    </w:pPr>
    <w:rPr>
      <w:rFonts w:ascii="宋体" w:hAnsi="宋体" w:eastAsia="宋体" w:cs="宋体"/>
      <w:kern w:val="0"/>
      <w:sz w:val="24"/>
      <w:szCs w:val="24"/>
    </w:rPr>
  </w:style>
  <w:style w:type="paragraph" w:customStyle="1" w:styleId="68">
    <w:name w:val="jgld_leader"/>
    <w:basedOn w:val="1"/>
    <w:qFormat/>
    <w:uiPriority w:val="0"/>
    <w:pPr>
      <w:widowControl/>
      <w:pBdr>
        <w:bottom w:val="single" w:color="E5E5E5" w:sz="6" w:space="0"/>
      </w:pBdr>
      <w:shd w:val="clear" w:color="auto" w:fill="F8F8F8"/>
      <w:spacing w:before="300" w:after="300"/>
      <w:jc w:val="left"/>
    </w:pPr>
    <w:rPr>
      <w:rFonts w:ascii="宋体" w:hAnsi="宋体" w:eastAsia="宋体" w:cs="宋体"/>
      <w:kern w:val="0"/>
      <w:sz w:val="24"/>
      <w:szCs w:val="24"/>
    </w:rPr>
  </w:style>
  <w:style w:type="paragraph" w:customStyle="1" w:styleId="69">
    <w:name w:val="leader_grjj"/>
    <w:basedOn w:val="1"/>
    <w:qFormat/>
    <w:uiPriority w:val="0"/>
    <w:pPr>
      <w:widowControl/>
      <w:spacing w:before="300" w:after="300"/>
      <w:jc w:val="left"/>
    </w:pPr>
    <w:rPr>
      <w:rFonts w:ascii="宋体" w:hAnsi="宋体" w:eastAsia="宋体" w:cs="宋体"/>
      <w:kern w:val="0"/>
      <w:sz w:val="24"/>
      <w:szCs w:val="24"/>
    </w:rPr>
  </w:style>
  <w:style w:type="paragraph" w:customStyle="1" w:styleId="70">
    <w:name w:val="page"/>
    <w:basedOn w:val="1"/>
    <w:qFormat/>
    <w:uiPriority w:val="0"/>
    <w:pPr>
      <w:widowControl/>
      <w:spacing w:before="375" w:after="375"/>
      <w:jc w:val="left"/>
    </w:pPr>
    <w:rPr>
      <w:rFonts w:ascii="宋体" w:hAnsi="宋体" w:eastAsia="宋体" w:cs="宋体"/>
      <w:kern w:val="0"/>
      <w:sz w:val="24"/>
      <w:szCs w:val="24"/>
    </w:rPr>
  </w:style>
  <w:style w:type="paragraph" w:customStyle="1" w:styleId="71">
    <w:name w:val="share-icon"/>
    <w:basedOn w:val="1"/>
    <w:uiPriority w:val="0"/>
    <w:pPr>
      <w:widowControl/>
      <w:spacing w:before="100" w:beforeAutospacing="1" w:after="100" w:afterAutospacing="1" w:line="360" w:lineRule="atLeast"/>
      <w:jc w:val="left"/>
    </w:pPr>
    <w:rPr>
      <w:rFonts w:ascii="宋体" w:hAnsi="宋体" w:eastAsia="宋体" w:cs="宋体"/>
      <w:kern w:val="0"/>
      <w:sz w:val="24"/>
      <w:szCs w:val="24"/>
    </w:rPr>
  </w:style>
  <w:style w:type="paragraph" w:customStyle="1" w:styleId="72">
    <w:name w:val="share-box"/>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3">
    <w:name w:val="share-popup"/>
    <w:basedOn w:val="1"/>
    <w:qFormat/>
    <w:uiPriority w:val="0"/>
    <w:pPr>
      <w:widowControl/>
      <w:pBdr>
        <w:top w:val="single" w:color="E9E9E9" w:sz="6" w:space="0"/>
        <w:left w:val="single" w:color="E9E9E9" w:sz="6" w:space="0"/>
        <w:bottom w:val="single" w:color="E9E9E9" w:sz="6" w:space="0"/>
        <w:right w:val="single" w:color="E9E9E9" w:sz="6" w:space="0"/>
      </w:pBdr>
      <w:spacing w:before="100" w:beforeAutospacing="1" w:after="100" w:afterAutospacing="1"/>
      <w:jc w:val="left"/>
    </w:pPr>
    <w:rPr>
      <w:rFonts w:ascii="宋体" w:hAnsi="宋体" w:eastAsia="宋体" w:cs="宋体"/>
      <w:vanish/>
      <w:kern w:val="0"/>
      <w:sz w:val="24"/>
      <w:szCs w:val="24"/>
    </w:rPr>
  </w:style>
  <w:style w:type="paragraph" w:customStyle="1" w:styleId="74">
    <w:name w:val="comm_toplink"/>
    <w:basedOn w:val="1"/>
    <w:qFormat/>
    <w:uiPriority w:val="0"/>
    <w:pPr>
      <w:widowControl/>
      <w:spacing w:before="100" w:beforeAutospacing="1" w:after="100" w:afterAutospacing="1" w:line="450" w:lineRule="atLeast"/>
      <w:jc w:val="left"/>
    </w:pPr>
    <w:rPr>
      <w:rFonts w:ascii="微软雅黑" w:hAnsi="微软雅黑" w:eastAsia="宋体" w:cs="宋体"/>
      <w:color w:val="FFFFFF"/>
      <w:kern w:val="0"/>
      <w:sz w:val="18"/>
      <w:szCs w:val="18"/>
    </w:rPr>
  </w:style>
  <w:style w:type="paragraph" w:customStyle="1" w:styleId="75">
    <w:name w:val="h-login"/>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76">
    <w:name w:val="login-box"/>
    <w:basedOn w:val="1"/>
    <w:qFormat/>
    <w:uiPriority w:val="0"/>
    <w:pPr>
      <w:widowControl/>
      <w:ind w:left="-4950"/>
      <w:jc w:val="left"/>
    </w:pPr>
    <w:rPr>
      <w:rFonts w:ascii="宋体" w:hAnsi="宋体" w:eastAsia="宋体" w:cs="宋体"/>
      <w:kern w:val="0"/>
      <w:sz w:val="24"/>
      <w:szCs w:val="24"/>
    </w:rPr>
  </w:style>
  <w:style w:type="paragraph" w:customStyle="1" w:styleId="77">
    <w:name w:val="login-ti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8">
    <w:name w:val="login-bg"/>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9">
    <w:name w:val="login-con"/>
    <w:basedOn w:val="1"/>
    <w:qFormat/>
    <w:uiPriority w:val="0"/>
    <w:pPr>
      <w:widowControl/>
      <w:shd w:val="clear" w:color="auto" w:fill="EEEEEE"/>
      <w:spacing w:before="100" w:beforeAutospacing="1" w:after="100" w:afterAutospacing="1"/>
      <w:jc w:val="left"/>
    </w:pPr>
    <w:rPr>
      <w:rFonts w:ascii="宋体" w:hAnsi="宋体" w:eastAsia="宋体" w:cs="宋体"/>
      <w:kern w:val="0"/>
      <w:sz w:val="24"/>
      <w:szCs w:val="24"/>
    </w:rPr>
  </w:style>
  <w:style w:type="paragraph" w:customStyle="1" w:styleId="80">
    <w:name w:val="login-other"/>
    <w:basedOn w:val="1"/>
    <w:qFormat/>
    <w:uiPriority w:val="0"/>
    <w:pPr>
      <w:widowControl/>
      <w:spacing w:before="450" w:after="100" w:afterAutospacing="1"/>
      <w:jc w:val="left"/>
    </w:pPr>
    <w:rPr>
      <w:rFonts w:ascii="宋体" w:hAnsi="宋体" w:eastAsia="宋体" w:cs="宋体"/>
      <w:kern w:val="0"/>
      <w:sz w:val="24"/>
      <w:szCs w:val="24"/>
    </w:rPr>
  </w:style>
  <w:style w:type="paragraph" w:customStyle="1" w:styleId="81">
    <w:name w:val="hj-easyread-smoothtips"/>
    <w:basedOn w:val="1"/>
    <w:qFormat/>
    <w:uiPriority w:val="0"/>
    <w:pPr>
      <w:widowControl/>
      <w:shd w:val="clear" w:color="auto" w:fill="DEDEDE"/>
      <w:spacing w:before="100" w:beforeAutospacing="1" w:after="100" w:afterAutospacing="1"/>
      <w:jc w:val="left"/>
    </w:pPr>
    <w:rPr>
      <w:rFonts w:ascii="宋体" w:hAnsi="宋体" w:eastAsia="宋体" w:cs="宋体"/>
      <w:kern w:val="0"/>
      <w:sz w:val="24"/>
      <w:szCs w:val="24"/>
    </w:rPr>
  </w:style>
  <w:style w:type="paragraph" w:customStyle="1" w:styleId="82">
    <w:name w:val="hj-easyread-container"/>
    <w:basedOn w:val="1"/>
    <w:qFormat/>
    <w:uiPriority w:val="0"/>
    <w:pPr>
      <w:widowControl/>
      <w:spacing w:before="100" w:beforeAutospacing="1" w:after="100" w:afterAutospacing="1"/>
      <w:ind w:left="8700"/>
      <w:jc w:val="left"/>
    </w:pPr>
    <w:rPr>
      <w:rFonts w:ascii="宋体" w:hAnsi="宋体" w:eastAsia="宋体" w:cs="宋体"/>
      <w:kern w:val="0"/>
      <w:sz w:val="24"/>
      <w:szCs w:val="24"/>
    </w:rPr>
  </w:style>
  <w:style w:type="paragraph" w:customStyle="1" w:styleId="83">
    <w:name w:val="log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
    <w:name w:val="searc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
    <w:name w:val="lin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
    <w:name w:val="gov_ic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
    <w:name w:val="mor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8">
    <w:name w:val="bloc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
    <w:name w:val="h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
    <w:name w:val="b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
    <w:name w:val="q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2">
    <w:name w:val="inf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3">
    <w:name w:val="serv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
    <w:name w:val="pathdiv"/>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
    <w:name w:val="syic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
    <w:name w:val="pi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
    <w:name w:val="lea_mor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8">
    <w:name w:val="hdjl_ti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9">
    <w:name w:val="hd_wyxx"/>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
    <w:name w:val="hdjl_main_riti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
    <w:name w:val="main_con_fti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
    <w:name w:val="main_con_zw"/>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
    <w:name w:val="mian_con_foo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4">
    <w:name w:val="jgld_leader_pi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5">
    <w:name w:val="jdld_leader_righ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
    <w:name w:val="n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7">
    <w:name w:val="pageselec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8">
    <w:name w:val="gwds_mor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9">
    <w:name w:val="smooth-l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0">
    <w:name w:val="smoot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1">
    <w:name w:val="w98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2">
    <w:name w:val="smooth-box"/>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
    <w:name w:val="tipscontrol-bt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
    <w:name w:val="wechat-bt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5">
    <w:name w:val="tipssearch-bt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6">
    <w:name w:val="tipscitys-bt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
    <w:name w:val="returntotop-bt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8">
    <w:name w:val="hj-easyread-icon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9">
    <w:name w:val="trffi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0">
    <w:name w:val="dispos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1">
    <w:name w:val="undispos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2">
    <w:name w:val="li0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3">
    <w:name w:val="li0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4">
    <w:name w:val="t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5">
    <w:name w:val="dat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6">
    <w:name w:val="prev"/>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7">
    <w:name w:val="work_flow"/>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
    <w:name w:val="lett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9">
    <w:name w:val="hd_ldxx"/>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0">
    <w:name w:val="hd_zjd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1">
    <w:name w:val="hd_xjcx"/>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2">
    <w:name w:val="hdjl_mor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3">
    <w:name w:val="jdld_leader_ti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4">
    <w:name w:val="jdld_leader_zw"/>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5">
    <w:name w:val="jdld_leader_zw&gt;spa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6">
    <w:name w:val="jdld_leader_zw&gt;div"/>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7">
    <w:name w:val="xjcx_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8">
    <w:name w:val="xjcx_su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9">
    <w:name w:val="topsystem_inn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0">
    <w:name w:val="midsystem_inn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1">
    <w:name w:val="hj-easyread-sider-btns-item"/>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2">
    <w:name w:val="dropselect_box"/>
    <w:basedOn w:val="13"/>
    <w:qFormat/>
    <w:uiPriority w:val="0"/>
  </w:style>
  <w:style w:type="character" w:customStyle="1" w:styleId="143">
    <w:name w:val="ywxt"/>
    <w:basedOn w:val="13"/>
    <w:qFormat/>
    <w:uiPriority w:val="0"/>
  </w:style>
  <w:style w:type="character" w:customStyle="1" w:styleId="144">
    <w:name w:val="selc"/>
    <w:basedOn w:val="13"/>
    <w:qFormat/>
    <w:uiPriority w:val="0"/>
  </w:style>
  <w:style w:type="character" w:customStyle="1" w:styleId="145">
    <w:name w:val="down"/>
    <w:basedOn w:val="13"/>
    <w:qFormat/>
    <w:uiPriority w:val="0"/>
  </w:style>
  <w:style w:type="character" w:customStyle="1" w:styleId="146">
    <w:name w:val="revert"/>
    <w:basedOn w:val="13"/>
    <w:qFormat/>
    <w:uiPriority w:val="0"/>
  </w:style>
  <w:style w:type="character" w:customStyle="1" w:styleId="147">
    <w:name w:val="noproc"/>
    <w:basedOn w:val="13"/>
    <w:qFormat/>
    <w:uiPriority w:val="0"/>
  </w:style>
  <w:style w:type="character" w:customStyle="1" w:styleId="148">
    <w:name w:val="hj-easyread-speakerprocesser-position-action-icon"/>
    <w:basedOn w:val="13"/>
    <w:qFormat/>
    <w:uiPriority w:val="0"/>
  </w:style>
  <w:style w:type="paragraph" w:customStyle="1" w:styleId="149">
    <w:name w:val="logo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0">
    <w:name w:val="search1"/>
    <w:basedOn w:val="1"/>
    <w:qFormat/>
    <w:uiPriority w:val="0"/>
    <w:pPr>
      <w:widowControl/>
      <w:pBdr>
        <w:top w:val="single" w:color="569AD4" w:sz="12" w:space="0"/>
        <w:left w:val="single" w:color="569AD4" w:sz="12" w:space="0"/>
        <w:bottom w:val="single" w:color="569AD4" w:sz="12" w:space="0"/>
        <w:right w:val="single" w:color="569AD4" w:sz="12" w:space="0"/>
      </w:pBdr>
      <w:spacing w:before="1080" w:after="100" w:afterAutospacing="1"/>
      <w:jc w:val="left"/>
    </w:pPr>
    <w:rPr>
      <w:rFonts w:ascii="宋体" w:hAnsi="宋体" w:eastAsia="宋体" w:cs="宋体"/>
      <w:kern w:val="0"/>
      <w:sz w:val="24"/>
      <w:szCs w:val="24"/>
    </w:rPr>
  </w:style>
  <w:style w:type="character" w:customStyle="1" w:styleId="151">
    <w:name w:val="dropselect_box1"/>
    <w:basedOn w:val="13"/>
    <w:qFormat/>
    <w:uiPriority w:val="0"/>
  </w:style>
  <w:style w:type="paragraph" w:customStyle="1" w:styleId="152">
    <w:name w:val="link1"/>
    <w:basedOn w:val="1"/>
    <w:qFormat/>
    <w:uiPriority w:val="0"/>
    <w:pPr>
      <w:widowControl/>
      <w:spacing w:before="100" w:beforeAutospacing="1" w:after="100" w:afterAutospacing="1"/>
      <w:ind w:right="120"/>
      <w:jc w:val="left"/>
    </w:pPr>
    <w:rPr>
      <w:rFonts w:ascii="宋体" w:hAnsi="宋体" w:eastAsia="宋体" w:cs="宋体"/>
      <w:color w:val="FFFFFF"/>
      <w:kern w:val="0"/>
      <w:sz w:val="24"/>
      <w:szCs w:val="24"/>
    </w:rPr>
  </w:style>
  <w:style w:type="paragraph" w:customStyle="1" w:styleId="153">
    <w:name w:val="link2"/>
    <w:basedOn w:val="1"/>
    <w:qFormat/>
    <w:uiPriority w:val="0"/>
    <w:pPr>
      <w:widowControl/>
      <w:spacing w:before="100" w:beforeAutospacing="1" w:after="100" w:afterAutospacing="1"/>
      <w:ind w:right="120"/>
      <w:jc w:val="left"/>
    </w:pPr>
    <w:rPr>
      <w:rFonts w:ascii="宋体" w:hAnsi="宋体" w:eastAsia="宋体" w:cs="宋体"/>
      <w:color w:val="FFFFFF"/>
      <w:kern w:val="0"/>
      <w:sz w:val="24"/>
      <w:szCs w:val="24"/>
      <w:u w:val="single"/>
    </w:rPr>
  </w:style>
  <w:style w:type="character" w:customStyle="1" w:styleId="154">
    <w:name w:val="dropselect_box2"/>
    <w:basedOn w:val="13"/>
    <w:qFormat/>
    <w:uiPriority w:val="0"/>
  </w:style>
  <w:style w:type="paragraph" w:customStyle="1" w:styleId="155">
    <w:name w:val="gov_ico1"/>
    <w:basedOn w:val="1"/>
    <w:qFormat/>
    <w:uiPriority w:val="0"/>
    <w:pPr>
      <w:widowControl/>
      <w:pBdr>
        <w:left w:val="single" w:color="D1D1D1" w:sz="6" w:space="26"/>
      </w:pBdr>
      <w:spacing w:before="480" w:after="100" w:afterAutospacing="1" w:line="480" w:lineRule="atLeast"/>
      <w:ind w:right="450"/>
      <w:jc w:val="left"/>
    </w:pPr>
    <w:rPr>
      <w:rFonts w:ascii="宋体" w:hAnsi="宋体" w:eastAsia="宋体" w:cs="宋体"/>
      <w:color w:val="4C4C4C"/>
      <w:kern w:val="0"/>
      <w:szCs w:val="21"/>
    </w:rPr>
  </w:style>
  <w:style w:type="paragraph" w:customStyle="1" w:styleId="156">
    <w:name w:val="trffic1"/>
    <w:basedOn w:val="1"/>
    <w:qFormat/>
    <w:uiPriority w:val="0"/>
    <w:pPr>
      <w:widowControl/>
      <w:pBdr>
        <w:left w:val="single" w:color="D1D1D1" w:sz="6" w:space="26"/>
      </w:pBdr>
      <w:shd w:val="clear" w:color="auto" w:fill="1A5DB1"/>
      <w:spacing w:before="480" w:after="100" w:afterAutospacing="1" w:line="300" w:lineRule="atLeast"/>
      <w:ind w:left="150"/>
      <w:jc w:val="left"/>
    </w:pPr>
    <w:rPr>
      <w:rFonts w:ascii="宋体" w:hAnsi="宋体" w:eastAsia="宋体" w:cs="宋体"/>
      <w:color w:val="FFFFFF"/>
      <w:kern w:val="0"/>
      <w:sz w:val="18"/>
      <w:szCs w:val="18"/>
    </w:rPr>
  </w:style>
  <w:style w:type="paragraph" w:customStyle="1" w:styleId="157">
    <w:name w:val="bdnone1"/>
    <w:basedOn w:val="1"/>
    <w:qFormat/>
    <w:uiPriority w:val="0"/>
    <w:pPr>
      <w:widowControl/>
      <w:spacing w:before="480" w:after="100" w:afterAutospacing="1" w:line="480" w:lineRule="atLeast"/>
      <w:jc w:val="left"/>
    </w:pPr>
    <w:rPr>
      <w:rFonts w:ascii="宋体" w:hAnsi="宋体" w:eastAsia="宋体" w:cs="宋体"/>
      <w:color w:val="4C4C4C"/>
      <w:kern w:val="0"/>
      <w:szCs w:val="21"/>
    </w:rPr>
  </w:style>
  <w:style w:type="paragraph" w:customStyle="1" w:styleId="158">
    <w:name w:val="more1"/>
    <w:basedOn w:val="1"/>
    <w:qFormat/>
    <w:uiPriority w:val="0"/>
    <w:pPr>
      <w:widowControl/>
      <w:spacing w:before="100" w:beforeAutospacing="1" w:after="100" w:afterAutospacing="1" w:line="600" w:lineRule="atLeast"/>
      <w:jc w:val="left"/>
    </w:pPr>
    <w:rPr>
      <w:rFonts w:ascii="宋体" w:hAnsi="宋体" w:eastAsia="宋体" w:cs="宋体"/>
      <w:vanish/>
      <w:color w:val="484848"/>
      <w:kern w:val="0"/>
      <w:sz w:val="24"/>
      <w:szCs w:val="24"/>
    </w:rPr>
  </w:style>
  <w:style w:type="paragraph" w:customStyle="1" w:styleId="159">
    <w:name w:val="more2"/>
    <w:basedOn w:val="1"/>
    <w:qFormat/>
    <w:uiPriority w:val="0"/>
    <w:pPr>
      <w:widowControl/>
      <w:spacing w:before="100" w:beforeAutospacing="1" w:after="100" w:afterAutospacing="1" w:line="600" w:lineRule="atLeast"/>
      <w:jc w:val="left"/>
    </w:pPr>
    <w:rPr>
      <w:rFonts w:ascii="宋体" w:hAnsi="宋体" w:eastAsia="宋体" w:cs="宋体"/>
      <w:vanish/>
      <w:color w:val="3479BB"/>
      <w:kern w:val="0"/>
      <w:sz w:val="24"/>
      <w:szCs w:val="24"/>
    </w:rPr>
  </w:style>
  <w:style w:type="paragraph" w:customStyle="1" w:styleId="160">
    <w:name w:val="block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1">
    <w:name w:val="date1"/>
    <w:basedOn w:val="1"/>
    <w:qFormat/>
    <w:uiPriority w:val="0"/>
    <w:pPr>
      <w:widowControl/>
      <w:spacing w:before="100" w:beforeAutospacing="1" w:after="100" w:afterAutospacing="1"/>
      <w:jc w:val="left"/>
    </w:pPr>
    <w:rPr>
      <w:rFonts w:ascii="宋体" w:hAnsi="宋体" w:eastAsia="宋体" w:cs="宋体"/>
      <w:color w:val="BFC0C0"/>
      <w:kern w:val="0"/>
      <w:sz w:val="18"/>
      <w:szCs w:val="18"/>
    </w:rPr>
  </w:style>
  <w:style w:type="paragraph" w:customStyle="1" w:styleId="162">
    <w:name w:val="hd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3">
    <w:name w:val="bd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4">
    <w:name w:val="prev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5">
    <w:name w:val="n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6">
    <w:name w:val="bd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7">
    <w:name w:val="qd1"/>
    <w:basedOn w:val="1"/>
    <w:qFormat/>
    <w:uiPriority w:val="0"/>
    <w:pPr>
      <w:widowControl/>
      <w:pBdr>
        <w:top w:val="single" w:color="D1D1D1" w:sz="6" w:space="2"/>
        <w:left w:val="single" w:color="D1D1D1" w:sz="6" w:space="8"/>
        <w:bottom w:val="single" w:color="D1D1D1" w:sz="6" w:space="2"/>
        <w:right w:val="single" w:color="D1D1D1" w:sz="6" w:space="0"/>
      </w:pBdr>
      <w:spacing w:before="150" w:after="100" w:afterAutospacing="1"/>
      <w:jc w:val="left"/>
    </w:pPr>
    <w:rPr>
      <w:rFonts w:ascii="宋体" w:hAnsi="宋体" w:eastAsia="宋体" w:cs="宋体"/>
      <w:kern w:val="0"/>
      <w:sz w:val="24"/>
      <w:szCs w:val="24"/>
    </w:rPr>
  </w:style>
  <w:style w:type="paragraph" w:customStyle="1" w:styleId="168">
    <w:name w:val="info1"/>
    <w:basedOn w:val="1"/>
    <w:qFormat/>
    <w:uiPriority w:val="0"/>
    <w:pPr>
      <w:widowControl/>
      <w:pBdr>
        <w:bottom w:val="dashed" w:color="E3E3E3" w:sz="6" w:space="8"/>
      </w:pBdr>
      <w:spacing w:before="100" w:beforeAutospacing="1" w:after="100" w:afterAutospacing="1"/>
      <w:jc w:val="left"/>
    </w:pPr>
    <w:rPr>
      <w:rFonts w:ascii="宋体" w:hAnsi="宋体" w:eastAsia="宋体" w:cs="宋体"/>
      <w:kern w:val="0"/>
      <w:sz w:val="24"/>
      <w:szCs w:val="24"/>
    </w:rPr>
  </w:style>
  <w:style w:type="paragraph" w:customStyle="1" w:styleId="169">
    <w:name w:val="work_flow1"/>
    <w:basedOn w:val="1"/>
    <w:qFormat/>
    <w:uiPriority w:val="0"/>
    <w:pPr>
      <w:widowControl/>
      <w:pBdr>
        <w:top w:val="single" w:color="484848" w:sz="18" w:space="0"/>
        <w:bottom w:val="single" w:color="484848" w:sz="6" w:space="0"/>
      </w:pBdr>
      <w:shd w:val="clear" w:color="auto" w:fill="F0F0F0"/>
      <w:spacing w:before="180" w:after="180" w:line="525" w:lineRule="atLeast"/>
      <w:jc w:val="left"/>
    </w:pPr>
    <w:rPr>
      <w:rFonts w:ascii="宋体" w:hAnsi="宋体" w:eastAsia="宋体" w:cs="宋体"/>
      <w:vanish/>
      <w:color w:val="1A5DB1"/>
      <w:kern w:val="0"/>
      <w:sz w:val="24"/>
      <w:szCs w:val="24"/>
    </w:rPr>
  </w:style>
  <w:style w:type="paragraph" w:customStyle="1" w:styleId="170">
    <w:name w:val="serve1"/>
    <w:basedOn w:val="1"/>
    <w:qFormat/>
    <w:uiPriority w:val="0"/>
    <w:pPr>
      <w:widowControl/>
      <w:spacing w:before="300" w:after="100" w:afterAutospacing="1"/>
      <w:jc w:val="left"/>
    </w:pPr>
    <w:rPr>
      <w:rFonts w:ascii="宋体" w:hAnsi="宋体" w:eastAsia="宋体" w:cs="宋体"/>
      <w:kern w:val="0"/>
      <w:sz w:val="24"/>
      <w:szCs w:val="24"/>
    </w:rPr>
  </w:style>
  <w:style w:type="character" w:customStyle="1" w:styleId="171">
    <w:name w:val="ywxt1"/>
    <w:basedOn w:val="13"/>
    <w:qFormat/>
    <w:uiPriority w:val="0"/>
  </w:style>
  <w:style w:type="character" w:customStyle="1" w:styleId="172">
    <w:name w:val="selc1"/>
    <w:basedOn w:val="13"/>
    <w:qFormat/>
    <w:uiPriority w:val="0"/>
  </w:style>
  <w:style w:type="character" w:customStyle="1" w:styleId="173">
    <w:name w:val="down1"/>
    <w:basedOn w:val="13"/>
    <w:qFormat/>
    <w:uiPriority w:val="0"/>
  </w:style>
  <w:style w:type="character" w:customStyle="1" w:styleId="174">
    <w:name w:val="revert1"/>
    <w:basedOn w:val="13"/>
    <w:qFormat/>
    <w:uiPriority w:val="0"/>
    <w:rPr>
      <w:color w:val="FFFFFF"/>
      <w:shd w:val="clear" w:color="auto" w:fill="41AB8C"/>
    </w:rPr>
  </w:style>
  <w:style w:type="character" w:customStyle="1" w:styleId="175">
    <w:name w:val="noproc1"/>
    <w:basedOn w:val="13"/>
    <w:qFormat/>
    <w:uiPriority w:val="0"/>
    <w:rPr>
      <w:color w:val="FFFFFF"/>
      <w:shd w:val="clear" w:color="auto" w:fill="A8B2AF"/>
    </w:rPr>
  </w:style>
  <w:style w:type="paragraph" w:customStyle="1" w:styleId="176">
    <w:name w:val="letter1"/>
    <w:basedOn w:val="1"/>
    <w:qFormat/>
    <w:uiPriority w:val="0"/>
    <w:pPr>
      <w:widowControl/>
      <w:shd w:val="clear" w:color="auto" w:fill="DEE6F0"/>
      <w:spacing w:before="285" w:after="100" w:afterAutospacing="1" w:line="540" w:lineRule="atLeast"/>
      <w:jc w:val="center"/>
    </w:pPr>
    <w:rPr>
      <w:rFonts w:ascii="宋体" w:hAnsi="宋体" w:eastAsia="宋体" w:cs="宋体"/>
      <w:kern w:val="0"/>
      <w:szCs w:val="21"/>
    </w:rPr>
  </w:style>
  <w:style w:type="paragraph" w:customStyle="1" w:styleId="177">
    <w:name w:val="pathdiv1"/>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178">
    <w:name w:val="syico1"/>
    <w:basedOn w:val="1"/>
    <w:qFormat/>
    <w:uiPriority w:val="0"/>
    <w:pPr>
      <w:widowControl/>
      <w:spacing w:before="100" w:beforeAutospacing="1" w:after="100" w:afterAutospacing="1"/>
      <w:ind w:left="300"/>
      <w:jc w:val="left"/>
    </w:pPr>
    <w:rPr>
      <w:rFonts w:ascii="宋体" w:hAnsi="宋体" w:eastAsia="宋体" w:cs="宋体"/>
      <w:kern w:val="0"/>
      <w:sz w:val="24"/>
      <w:szCs w:val="24"/>
    </w:rPr>
  </w:style>
  <w:style w:type="paragraph" w:customStyle="1" w:styleId="179">
    <w:name w:val="pic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info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lea_more1"/>
    <w:basedOn w:val="1"/>
    <w:qFormat/>
    <w:uiPriority w:val="0"/>
    <w:pPr>
      <w:widowControl/>
      <w:shd w:val="clear" w:color="auto" w:fill="EAEAEA"/>
      <w:spacing w:before="225" w:after="100" w:afterAutospacing="1" w:line="525" w:lineRule="atLeast"/>
      <w:jc w:val="center"/>
    </w:pPr>
    <w:rPr>
      <w:rFonts w:ascii="宋体" w:hAnsi="宋体" w:eastAsia="宋体" w:cs="宋体"/>
      <w:kern w:val="0"/>
      <w:szCs w:val="21"/>
    </w:rPr>
  </w:style>
  <w:style w:type="paragraph" w:customStyle="1" w:styleId="182">
    <w:name w:val="dispose1"/>
    <w:basedOn w:val="1"/>
    <w:qFormat/>
    <w:uiPriority w:val="0"/>
    <w:pPr>
      <w:widowControl/>
      <w:spacing w:before="100" w:beforeAutospacing="1" w:after="100" w:afterAutospacing="1"/>
      <w:jc w:val="left"/>
    </w:pPr>
    <w:rPr>
      <w:rFonts w:ascii="宋体" w:hAnsi="宋体" w:eastAsia="宋体" w:cs="宋体"/>
      <w:color w:val="999999"/>
      <w:kern w:val="0"/>
      <w:sz w:val="24"/>
      <w:szCs w:val="24"/>
    </w:rPr>
  </w:style>
  <w:style w:type="paragraph" w:customStyle="1" w:styleId="183">
    <w:name w:val="undispose1"/>
    <w:basedOn w:val="1"/>
    <w:qFormat/>
    <w:uiPriority w:val="0"/>
    <w:pPr>
      <w:widowControl/>
      <w:spacing w:before="100" w:beforeAutospacing="1" w:after="100" w:afterAutospacing="1"/>
      <w:jc w:val="left"/>
    </w:pPr>
    <w:rPr>
      <w:rFonts w:ascii="宋体" w:hAnsi="宋体" w:eastAsia="宋体" w:cs="宋体"/>
      <w:color w:val="008567"/>
      <w:kern w:val="0"/>
      <w:sz w:val="24"/>
      <w:szCs w:val="24"/>
    </w:rPr>
  </w:style>
  <w:style w:type="paragraph" w:customStyle="1" w:styleId="184">
    <w:name w:val="hdjl_tit1"/>
    <w:basedOn w:val="1"/>
    <w:qFormat/>
    <w:uiPriority w:val="0"/>
    <w:pPr>
      <w:widowControl/>
      <w:pBdr>
        <w:bottom w:val="single" w:color="2E91D4" w:sz="12" w:space="0"/>
      </w:pBdr>
      <w:spacing w:before="100" w:beforeAutospacing="1" w:after="100" w:afterAutospacing="1"/>
      <w:jc w:val="left"/>
    </w:pPr>
    <w:rPr>
      <w:rFonts w:ascii="宋体" w:hAnsi="宋体" w:eastAsia="宋体" w:cs="宋体"/>
      <w:kern w:val="0"/>
      <w:sz w:val="24"/>
      <w:szCs w:val="24"/>
    </w:rPr>
  </w:style>
  <w:style w:type="paragraph" w:customStyle="1" w:styleId="185">
    <w:name w:val="hd_ldxx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hd_zjdc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
    <w:name w:val="hd_xjcx1"/>
    <w:basedOn w:val="1"/>
    <w:qFormat/>
    <w:uiPriority w:val="0"/>
    <w:pPr>
      <w:widowControl/>
      <w:spacing w:before="225" w:after="100" w:afterAutospacing="1"/>
      <w:jc w:val="left"/>
    </w:pPr>
    <w:rPr>
      <w:rFonts w:ascii="宋体" w:hAnsi="宋体" w:eastAsia="宋体" w:cs="宋体"/>
      <w:kern w:val="0"/>
      <w:sz w:val="24"/>
      <w:szCs w:val="24"/>
    </w:rPr>
  </w:style>
  <w:style w:type="paragraph" w:customStyle="1" w:styleId="188">
    <w:name w:val="xjcx_text1"/>
    <w:basedOn w:val="1"/>
    <w:qFormat/>
    <w:uiPriority w:val="0"/>
    <w:pPr>
      <w:widowControl/>
      <w:pBdr>
        <w:top w:val="single" w:color="EBEBEB" w:sz="6" w:space="0"/>
        <w:left w:val="single" w:color="EBEBEB" w:sz="6" w:space="0"/>
        <w:bottom w:val="single" w:color="EBEBEB" w:sz="6" w:space="0"/>
        <w:right w:val="single" w:color="EBEBEB" w:sz="6" w:space="0"/>
      </w:pBdr>
      <w:spacing w:before="100" w:beforeAutospacing="1" w:after="100" w:afterAutospacing="1" w:line="570" w:lineRule="atLeast"/>
      <w:ind w:firstLine="195"/>
      <w:jc w:val="left"/>
    </w:pPr>
    <w:rPr>
      <w:rFonts w:ascii="宋体" w:hAnsi="宋体" w:eastAsia="宋体" w:cs="宋体"/>
      <w:color w:val="999999"/>
      <w:kern w:val="0"/>
      <w:szCs w:val="21"/>
    </w:rPr>
  </w:style>
  <w:style w:type="paragraph" w:customStyle="1" w:styleId="189">
    <w:name w:val="xjcx_sub1"/>
    <w:basedOn w:val="1"/>
    <w:qFormat/>
    <w:uiPriority w:val="0"/>
    <w:pPr>
      <w:widowControl/>
      <w:shd w:val="clear" w:color="auto" w:fill="2E91D4"/>
      <w:spacing w:before="100" w:beforeAutospacing="1" w:after="100" w:afterAutospacing="1"/>
      <w:jc w:val="left"/>
    </w:pPr>
    <w:rPr>
      <w:rFonts w:ascii="宋体" w:hAnsi="宋体" w:eastAsia="宋体" w:cs="宋体"/>
      <w:color w:val="FFFFFF"/>
      <w:kern w:val="0"/>
      <w:sz w:val="24"/>
      <w:szCs w:val="24"/>
    </w:rPr>
  </w:style>
  <w:style w:type="paragraph" w:customStyle="1" w:styleId="190">
    <w:name w:val="hd_wyxx1"/>
    <w:basedOn w:val="1"/>
    <w:qFormat/>
    <w:uiPriority w:val="0"/>
    <w:pPr>
      <w:widowControl/>
      <w:spacing w:before="100" w:beforeAutospacing="1" w:after="100" w:afterAutospacing="1" w:line="750" w:lineRule="atLeast"/>
      <w:jc w:val="left"/>
    </w:pPr>
    <w:rPr>
      <w:rFonts w:ascii="宋体" w:hAnsi="宋体" w:eastAsia="宋体" w:cs="宋体"/>
      <w:color w:val="FFFFFF"/>
      <w:kern w:val="0"/>
      <w:sz w:val="26"/>
      <w:szCs w:val="26"/>
    </w:rPr>
  </w:style>
  <w:style w:type="paragraph" w:customStyle="1" w:styleId="191">
    <w:name w:val="hdjl_main_ritit1"/>
    <w:basedOn w:val="1"/>
    <w:qFormat/>
    <w:uiPriority w:val="0"/>
    <w:pPr>
      <w:widowControl/>
      <w:shd w:val="clear" w:color="auto" w:fill="F1F5F9"/>
      <w:spacing w:before="100" w:beforeAutospacing="1" w:after="100" w:afterAutospacing="1" w:line="750" w:lineRule="atLeast"/>
      <w:jc w:val="left"/>
    </w:pPr>
    <w:rPr>
      <w:rFonts w:ascii="宋体" w:hAnsi="宋体" w:eastAsia="宋体" w:cs="宋体"/>
      <w:kern w:val="0"/>
      <w:sz w:val="24"/>
      <w:szCs w:val="24"/>
    </w:rPr>
  </w:style>
  <w:style w:type="paragraph" w:customStyle="1" w:styleId="192">
    <w:name w:val="hdjl_more1"/>
    <w:basedOn w:val="1"/>
    <w:qFormat/>
    <w:uiPriority w:val="0"/>
    <w:pPr>
      <w:widowControl/>
      <w:spacing w:before="100" w:beforeAutospacing="1" w:after="100" w:afterAutospacing="1"/>
      <w:ind w:right="255"/>
      <w:jc w:val="left"/>
    </w:pPr>
    <w:rPr>
      <w:rFonts w:ascii="宋体" w:hAnsi="宋体" w:eastAsia="宋体" w:cs="宋体"/>
      <w:color w:val="AAAAAA"/>
      <w:kern w:val="0"/>
      <w:sz w:val="18"/>
      <w:szCs w:val="18"/>
    </w:rPr>
  </w:style>
  <w:style w:type="paragraph" w:customStyle="1" w:styleId="193">
    <w:name w:val="main_con_ftit1"/>
    <w:basedOn w:val="1"/>
    <w:qFormat/>
    <w:uiPriority w:val="0"/>
    <w:pPr>
      <w:widowControl/>
      <w:shd w:val="clear" w:color="auto" w:fill="F8F8F8"/>
      <w:spacing w:before="100" w:beforeAutospacing="1" w:after="100" w:afterAutospacing="1" w:line="540" w:lineRule="atLeast"/>
      <w:jc w:val="left"/>
    </w:pPr>
    <w:rPr>
      <w:rFonts w:ascii="宋体" w:hAnsi="宋体" w:eastAsia="宋体" w:cs="宋体"/>
      <w:kern w:val="0"/>
      <w:sz w:val="24"/>
      <w:szCs w:val="24"/>
    </w:rPr>
  </w:style>
  <w:style w:type="paragraph" w:customStyle="1" w:styleId="194">
    <w:name w:val="main_con_zw1"/>
    <w:basedOn w:val="1"/>
    <w:qFormat/>
    <w:uiPriority w:val="0"/>
    <w:pPr>
      <w:widowControl/>
      <w:spacing w:before="600" w:after="100" w:afterAutospacing="1"/>
      <w:jc w:val="left"/>
    </w:pPr>
    <w:rPr>
      <w:rFonts w:ascii="宋体" w:hAnsi="宋体" w:eastAsia="宋体" w:cs="宋体"/>
      <w:kern w:val="0"/>
      <w:szCs w:val="21"/>
    </w:rPr>
  </w:style>
  <w:style w:type="paragraph" w:customStyle="1" w:styleId="195">
    <w:name w:val="mian_con_foot1"/>
    <w:basedOn w:val="1"/>
    <w:qFormat/>
    <w:uiPriority w:val="0"/>
    <w:pPr>
      <w:widowControl/>
      <w:shd w:val="clear" w:color="auto" w:fill="F8F8F8"/>
      <w:spacing w:before="600" w:after="100" w:afterAutospacing="1" w:line="675" w:lineRule="atLeast"/>
      <w:jc w:val="left"/>
    </w:pPr>
    <w:rPr>
      <w:rFonts w:ascii="宋体" w:hAnsi="宋体" w:eastAsia="宋体" w:cs="宋体"/>
      <w:kern w:val="0"/>
      <w:sz w:val="24"/>
      <w:szCs w:val="24"/>
    </w:rPr>
  </w:style>
  <w:style w:type="paragraph" w:customStyle="1" w:styleId="196">
    <w:name w:val="li011"/>
    <w:basedOn w:val="1"/>
    <w:qFormat/>
    <w:uiPriority w:val="0"/>
    <w:pPr>
      <w:widowControl/>
      <w:spacing w:before="100" w:beforeAutospacing="1" w:after="100" w:afterAutospacing="1" w:line="390" w:lineRule="atLeast"/>
      <w:jc w:val="left"/>
    </w:pPr>
    <w:rPr>
      <w:rFonts w:ascii="宋体" w:hAnsi="宋体" w:eastAsia="宋体" w:cs="宋体"/>
      <w:color w:val="333333"/>
      <w:kern w:val="0"/>
      <w:szCs w:val="21"/>
    </w:rPr>
  </w:style>
  <w:style w:type="paragraph" w:customStyle="1" w:styleId="197">
    <w:name w:val="li021"/>
    <w:basedOn w:val="1"/>
    <w:qFormat/>
    <w:uiPriority w:val="0"/>
    <w:pPr>
      <w:widowControl/>
      <w:spacing w:before="100" w:beforeAutospacing="1" w:after="100" w:afterAutospacing="1" w:line="390" w:lineRule="atLeast"/>
      <w:jc w:val="left"/>
    </w:pPr>
    <w:rPr>
      <w:rFonts w:ascii="宋体" w:hAnsi="宋体" w:eastAsia="宋体" w:cs="宋体"/>
      <w:color w:val="333333"/>
      <w:kern w:val="0"/>
      <w:szCs w:val="21"/>
    </w:rPr>
  </w:style>
  <w:style w:type="paragraph" w:customStyle="1" w:styleId="198">
    <w:name w:val="jgld_leader_pic1"/>
    <w:basedOn w:val="1"/>
    <w:qFormat/>
    <w:uiPriority w:val="0"/>
    <w:pPr>
      <w:widowControl/>
      <w:spacing w:before="300" w:after="300"/>
      <w:ind w:left="300" w:right="300"/>
      <w:jc w:val="left"/>
    </w:pPr>
    <w:rPr>
      <w:rFonts w:ascii="宋体" w:hAnsi="宋体" w:eastAsia="宋体" w:cs="宋体"/>
      <w:kern w:val="0"/>
      <w:sz w:val="24"/>
      <w:szCs w:val="24"/>
    </w:rPr>
  </w:style>
  <w:style w:type="paragraph" w:customStyle="1" w:styleId="199">
    <w:name w:val="jdld_leader_right1"/>
    <w:basedOn w:val="1"/>
    <w:qFormat/>
    <w:uiPriority w:val="0"/>
    <w:pPr>
      <w:widowControl/>
      <w:spacing w:before="675" w:after="100" w:afterAutospacing="1"/>
      <w:ind w:left="150"/>
      <w:jc w:val="left"/>
    </w:pPr>
    <w:rPr>
      <w:rFonts w:ascii="宋体" w:hAnsi="宋体" w:eastAsia="宋体" w:cs="宋体"/>
      <w:kern w:val="0"/>
      <w:sz w:val="24"/>
      <w:szCs w:val="24"/>
    </w:rPr>
  </w:style>
  <w:style w:type="paragraph" w:customStyle="1" w:styleId="200">
    <w:name w:val="jdld_leader_tit1"/>
    <w:basedOn w:val="1"/>
    <w:qFormat/>
    <w:uiPriority w:val="0"/>
    <w:pPr>
      <w:widowControl/>
      <w:spacing w:before="100" w:beforeAutospacing="1" w:after="100" w:afterAutospacing="1" w:line="330" w:lineRule="atLeast"/>
      <w:jc w:val="left"/>
    </w:pPr>
    <w:rPr>
      <w:rFonts w:ascii="宋体" w:hAnsi="宋体" w:eastAsia="宋体" w:cs="宋体"/>
      <w:b/>
      <w:bCs/>
      <w:color w:val="990B00"/>
      <w:kern w:val="0"/>
      <w:sz w:val="33"/>
      <w:szCs w:val="33"/>
    </w:rPr>
  </w:style>
  <w:style w:type="paragraph" w:customStyle="1" w:styleId="201">
    <w:name w:val="jdld_leader_zw1"/>
    <w:basedOn w:val="1"/>
    <w:qFormat/>
    <w:uiPriority w:val="0"/>
    <w:pPr>
      <w:widowControl/>
      <w:spacing w:before="100" w:beforeAutospacing="1" w:after="100" w:afterAutospacing="1" w:line="525" w:lineRule="atLeast"/>
      <w:jc w:val="left"/>
    </w:pPr>
    <w:rPr>
      <w:rFonts w:ascii="宋体" w:hAnsi="宋体" w:eastAsia="宋体" w:cs="宋体"/>
      <w:color w:val="333333"/>
      <w:kern w:val="0"/>
      <w:szCs w:val="21"/>
    </w:rPr>
  </w:style>
  <w:style w:type="paragraph" w:customStyle="1" w:styleId="202">
    <w:name w:val="jdld_leader_zw&gt;span1"/>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203">
    <w:name w:val="jdld_leader_zw&gt;div1"/>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204">
    <w:name w:val="next2"/>
    <w:basedOn w:val="1"/>
    <w:qFormat/>
    <w:uiPriority w:val="0"/>
    <w:pPr>
      <w:widowControl/>
      <w:pBdr>
        <w:right w:val="single" w:color="EEEEEE" w:sz="6" w:space="0"/>
      </w:pBdr>
      <w:spacing w:before="100" w:beforeAutospacing="1" w:after="100" w:afterAutospacing="1"/>
      <w:jc w:val="left"/>
    </w:pPr>
    <w:rPr>
      <w:rFonts w:ascii="宋体" w:hAnsi="宋体" w:eastAsia="宋体" w:cs="宋体"/>
      <w:kern w:val="0"/>
      <w:sz w:val="24"/>
      <w:szCs w:val="24"/>
    </w:rPr>
  </w:style>
  <w:style w:type="paragraph" w:customStyle="1" w:styleId="205">
    <w:name w:val="pageselect1"/>
    <w:basedOn w:val="1"/>
    <w:qFormat/>
    <w:uiPriority w:val="0"/>
    <w:pPr>
      <w:widowControl/>
      <w:pBdr>
        <w:bottom w:val="single" w:color="2E6699" w:sz="18" w:space="0"/>
      </w:pBdr>
      <w:shd w:val="clear" w:color="auto" w:fill="FFFFFF"/>
      <w:spacing w:before="100" w:beforeAutospacing="1" w:after="100" w:afterAutospacing="1"/>
      <w:jc w:val="left"/>
    </w:pPr>
    <w:rPr>
      <w:rFonts w:ascii="宋体" w:hAnsi="宋体" w:eastAsia="宋体" w:cs="宋体"/>
      <w:color w:val="4C4C4C"/>
      <w:kern w:val="0"/>
      <w:sz w:val="24"/>
      <w:szCs w:val="24"/>
    </w:rPr>
  </w:style>
  <w:style w:type="paragraph" w:customStyle="1" w:styleId="206">
    <w:name w:val="gwds_more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7">
    <w:name w:val="topsystem_inner1"/>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208">
    <w:name w:val="midsystem_inner1"/>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209">
    <w:name w:val="txt1"/>
    <w:basedOn w:val="1"/>
    <w:qFormat/>
    <w:uiPriority w:val="0"/>
    <w:pPr>
      <w:widowControl/>
      <w:spacing w:before="100" w:beforeAutospacing="1" w:after="100" w:afterAutospacing="1" w:line="450" w:lineRule="atLeast"/>
      <w:jc w:val="left"/>
    </w:pPr>
    <w:rPr>
      <w:rFonts w:ascii="微软雅黑" w:hAnsi="微软雅黑" w:eastAsia="微软雅黑" w:cs="宋体"/>
      <w:color w:val="999999"/>
      <w:kern w:val="0"/>
      <w:sz w:val="27"/>
      <w:szCs w:val="27"/>
    </w:rPr>
  </w:style>
  <w:style w:type="paragraph" w:customStyle="1" w:styleId="210">
    <w:name w:val="txt2"/>
    <w:basedOn w:val="1"/>
    <w:qFormat/>
    <w:uiPriority w:val="0"/>
    <w:pPr>
      <w:widowControl/>
      <w:spacing w:before="100" w:beforeAutospacing="1" w:after="100" w:afterAutospacing="1" w:line="450" w:lineRule="atLeast"/>
      <w:jc w:val="left"/>
    </w:pPr>
    <w:rPr>
      <w:rFonts w:ascii="微软雅黑" w:hAnsi="微软雅黑" w:eastAsia="微软雅黑" w:cs="宋体"/>
      <w:color w:val="999999"/>
      <w:kern w:val="0"/>
      <w:sz w:val="27"/>
      <w:szCs w:val="27"/>
    </w:rPr>
  </w:style>
  <w:style w:type="paragraph" w:customStyle="1" w:styleId="211">
    <w:name w:val="txt3"/>
    <w:basedOn w:val="1"/>
    <w:qFormat/>
    <w:uiPriority w:val="0"/>
    <w:pPr>
      <w:widowControl/>
      <w:spacing w:before="100" w:beforeAutospacing="1" w:after="100" w:afterAutospacing="1" w:line="450" w:lineRule="atLeast"/>
      <w:jc w:val="left"/>
    </w:pPr>
    <w:rPr>
      <w:rFonts w:ascii="微软雅黑" w:hAnsi="微软雅黑" w:eastAsia="微软雅黑" w:cs="宋体"/>
      <w:color w:val="999999"/>
      <w:kern w:val="0"/>
      <w:sz w:val="27"/>
      <w:szCs w:val="27"/>
    </w:rPr>
  </w:style>
  <w:style w:type="paragraph" w:customStyle="1" w:styleId="212">
    <w:name w:val="smooth-lf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3">
    <w:name w:val="smooth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4">
    <w:name w:val="w9801"/>
    <w:basedOn w:val="1"/>
    <w:qFormat/>
    <w:uiPriority w:val="0"/>
    <w:pPr>
      <w:widowControl/>
      <w:jc w:val="left"/>
    </w:pPr>
    <w:rPr>
      <w:rFonts w:ascii="宋体" w:hAnsi="宋体" w:eastAsia="宋体" w:cs="宋体"/>
      <w:kern w:val="0"/>
      <w:sz w:val="24"/>
      <w:szCs w:val="24"/>
    </w:rPr>
  </w:style>
  <w:style w:type="paragraph" w:customStyle="1" w:styleId="215">
    <w:name w:val="smooth-box1"/>
    <w:basedOn w:val="1"/>
    <w:qFormat/>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216">
    <w:name w:val="hj-easyread-sider-btns-item1"/>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character" w:customStyle="1" w:styleId="217">
    <w:name w:val="hj-easyread-speakerprocesser-position-action-icon1"/>
    <w:basedOn w:val="13"/>
    <w:qFormat/>
    <w:uiPriority w:val="0"/>
    <w:rPr>
      <w:shd w:val="clear" w:color="auto" w:fill="auto"/>
    </w:rPr>
  </w:style>
  <w:style w:type="paragraph" w:customStyle="1" w:styleId="218">
    <w:name w:val="tipscontrol-btn1"/>
    <w:basedOn w:val="1"/>
    <w:qFormat/>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19">
    <w:name w:val="wechat-btn1"/>
    <w:basedOn w:val="1"/>
    <w:qFormat/>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20">
    <w:name w:val="wechat-btn2"/>
    <w:basedOn w:val="1"/>
    <w:qFormat/>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21">
    <w:name w:val="tipssearch-btn1"/>
    <w:basedOn w:val="1"/>
    <w:qFormat/>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22">
    <w:name w:val="tipscitys-btn1"/>
    <w:basedOn w:val="1"/>
    <w:qFormat/>
    <w:uiPriority w:val="0"/>
    <w:pPr>
      <w:widowControl/>
      <w:spacing w:before="100" w:beforeAutospacing="1" w:after="30" w:line="536853376" w:lineRule="auto"/>
      <w:jc w:val="left"/>
    </w:pPr>
    <w:rPr>
      <w:rFonts w:ascii="宋体" w:hAnsi="宋体" w:eastAsia="宋体" w:cs="宋体"/>
      <w:kern w:val="0"/>
      <w:sz w:val="2"/>
      <w:szCs w:val="2"/>
    </w:rPr>
  </w:style>
  <w:style w:type="paragraph" w:customStyle="1" w:styleId="223">
    <w:name w:val="returntotop-btn1"/>
    <w:basedOn w:val="1"/>
    <w:qFormat/>
    <w:uiPriority w:val="0"/>
    <w:pPr>
      <w:widowControl/>
      <w:spacing w:before="100" w:beforeAutospacing="1" w:after="100" w:afterAutospacing="1" w:line="536853376" w:lineRule="auto"/>
      <w:jc w:val="left"/>
    </w:pPr>
    <w:rPr>
      <w:rFonts w:ascii="宋体" w:hAnsi="宋体" w:eastAsia="宋体" w:cs="宋体"/>
      <w:kern w:val="0"/>
      <w:sz w:val="2"/>
      <w:szCs w:val="2"/>
    </w:rPr>
  </w:style>
  <w:style w:type="paragraph" w:customStyle="1" w:styleId="224">
    <w:name w:val="hj-easyread-icons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5">
    <w:name w:val="批注框文本 Char"/>
    <w:basedOn w:val="13"/>
    <w:link w:val="8"/>
    <w:semiHidden/>
    <w:qFormat/>
    <w:uiPriority w:val="99"/>
    <w:rPr>
      <w:sz w:val="18"/>
      <w:szCs w:val="18"/>
    </w:rPr>
  </w:style>
  <w:style w:type="character" w:customStyle="1" w:styleId="226">
    <w:name w:val="页眉 Char"/>
    <w:basedOn w:val="13"/>
    <w:link w:val="10"/>
    <w:qFormat/>
    <w:uiPriority w:val="99"/>
    <w:rPr>
      <w:sz w:val="18"/>
      <w:szCs w:val="18"/>
    </w:rPr>
  </w:style>
  <w:style w:type="character" w:customStyle="1" w:styleId="227">
    <w:name w:val="页脚 Char"/>
    <w:basedOn w:val="13"/>
    <w:link w:val="9"/>
    <w:qFormat/>
    <w:uiPriority w:val="99"/>
    <w:rPr>
      <w:sz w:val="18"/>
      <w:szCs w:val="18"/>
    </w:rPr>
  </w:style>
  <w:style w:type="paragraph" w:customStyle="1" w:styleId="228">
    <w:name w:val="Char Char Char Char Char Char Char"/>
    <w:basedOn w:val="1"/>
    <w:qFormat/>
    <w:uiPriority w:val="0"/>
    <w:rPr>
      <w:rFonts w:ascii="Times New Roman" w:hAnsi="Times New Roman" w:eastAsia="宋体" w:cs="Times New Roman"/>
      <w:szCs w:val="21"/>
    </w:rPr>
  </w:style>
  <w:style w:type="paragraph" w:styleId="22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15</Pages>
  <Words>6319</Words>
  <Characters>6622</Characters>
  <Lines>57</Lines>
  <Paragraphs>16</Paragraphs>
  <TotalTime>10</TotalTime>
  <ScaleCrop>false</ScaleCrop>
  <LinksUpToDate>false</LinksUpToDate>
  <CharactersWithSpaces>6686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2020-08-26T02:48:00Z</dcterms:created>
  <dc:creator>NTKO</dc:creator>
  <cp:lastModifiedBy>杨阳</cp:lastModifiedBy>
  <cp:lastPrinted>2020-08-31T01:20:00Z</cp:lastPrinted>
  <dcterms:modified xsi:type="dcterms:W3CDTF">2026-06-30T06:20:42Z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eyJoZGlkIjoiOWU1NWZmNjE3NzBhODZmYTYyMjBhNTQwZWM0ZjBkNjEiLCJ1c2VySWQiOiI3NTA0NTc1ODIifQ==</vt:lpwstr>
  </property>
  <property fmtid="{D5CDD505-2E9C-101B-9397-08002B2CF9AE}" pid="4" name="ICV">
    <vt:lpwstr>7F268E3A25EB4483A34B07E76767D80D_12</vt:lpwstr>
  </property>
</Properties>
</file>