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560" w:lineRule="exact"/>
        <w:ind w:firstLine="482"/>
        <w:jc w:val="center"/>
        <w:textAlignment w:val="auto"/>
        <w:rPr>
          <w:rFonts w:hint="default" w:ascii="Times New Roman" w:hAnsi="Times New Roman" w:eastAsia="方正小标宋_GBK" w:cs="Times New Roman"/>
          <w:color w:val="333333"/>
          <w:kern w:val="0"/>
          <w:sz w:val="44"/>
          <w:szCs w:val="44"/>
          <w:lang w:val="en-US" w:eastAsia="zh-CN"/>
        </w:rPr>
      </w:pPr>
      <w:r>
        <w:rPr>
          <w:rFonts w:ascii="Times New Roman" w:hAnsi="Times New Roman" w:eastAsia="方正小标宋_GBK" w:cs="Times New Roman"/>
          <w:color w:val="333333"/>
          <w:kern w:val="0"/>
          <w:sz w:val="44"/>
          <w:szCs w:val="44"/>
        </w:rPr>
        <w:t>南京市</w:t>
      </w:r>
      <w:r>
        <w:rPr>
          <w:rFonts w:hint="eastAsia" w:ascii="Times New Roman" w:hAnsi="Times New Roman" w:eastAsia="方正小标宋_GBK" w:cs="Times New Roman"/>
          <w:color w:val="333333"/>
          <w:kern w:val="0"/>
          <w:sz w:val="44"/>
          <w:szCs w:val="44"/>
          <w:lang w:val="en-US" w:eastAsia="zh-CN"/>
        </w:rPr>
        <w:t>外事翻译中心</w:t>
      </w:r>
    </w:p>
    <w:p>
      <w:pPr>
        <w:keepNext w:val="0"/>
        <w:keepLines w:val="0"/>
        <w:pageBreakBefore w:val="0"/>
        <w:widowControl/>
        <w:kinsoku/>
        <w:wordWrap/>
        <w:overflowPunct/>
        <w:topLinePunct w:val="0"/>
        <w:autoSpaceDE/>
        <w:autoSpaceDN/>
        <w:bidi w:val="0"/>
        <w:snapToGrid/>
        <w:spacing w:line="560" w:lineRule="exact"/>
        <w:ind w:firstLine="482"/>
        <w:jc w:val="center"/>
        <w:textAlignment w:val="auto"/>
        <w:rPr>
          <w:rFonts w:ascii="Times New Roman" w:hAnsi="Times New Roman" w:eastAsia="方正小标宋_GBK" w:cs="Times New Roman"/>
          <w:color w:val="333333"/>
          <w:kern w:val="0"/>
          <w:sz w:val="44"/>
          <w:szCs w:val="44"/>
        </w:rPr>
      </w:pPr>
      <w:r>
        <w:rPr>
          <w:rFonts w:hint="eastAsia" w:ascii="Times New Roman" w:hAnsi="Times New Roman" w:eastAsia="方正小标宋_GBK" w:cs="Times New Roman"/>
          <w:color w:val="333333"/>
          <w:kern w:val="0"/>
          <w:sz w:val="44"/>
          <w:szCs w:val="44"/>
        </w:rPr>
        <w:t>202</w:t>
      </w:r>
      <w:r>
        <w:rPr>
          <w:rFonts w:hint="eastAsia" w:ascii="Times New Roman" w:hAnsi="Times New Roman" w:eastAsia="方正小标宋_GBK" w:cs="Times New Roman"/>
          <w:color w:val="333333"/>
          <w:kern w:val="0"/>
          <w:sz w:val="44"/>
          <w:szCs w:val="44"/>
          <w:lang w:val="en-US" w:eastAsia="zh-CN"/>
        </w:rPr>
        <w:t>5</w:t>
      </w:r>
      <w:r>
        <w:rPr>
          <w:rFonts w:ascii="Times New Roman" w:hAnsi="Times New Roman" w:eastAsia="方正小标宋_GBK" w:cs="Times New Roman"/>
          <w:color w:val="333333"/>
          <w:kern w:val="0"/>
          <w:sz w:val="44"/>
          <w:szCs w:val="44"/>
        </w:rPr>
        <w:t>年度</w:t>
      </w:r>
      <w:r>
        <w:rPr>
          <w:rFonts w:hint="eastAsia" w:ascii="Times New Roman" w:hAnsi="Times New Roman" w:eastAsia="方正小标宋_GBK" w:cs="Times New Roman"/>
          <w:color w:val="333333"/>
          <w:kern w:val="0"/>
          <w:sz w:val="44"/>
          <w:szCs w:val="44"/>
          <w:lang w:val="en-US" w:eastAsia="zh-CN"/>
        </w:rPr>
        <w:t>部门</w:t>
      </w:r>
      <w:r>
        <w:rPr>
          <w:rFonts w:ascii="Times New Roman" w:hAnsi="Times New Roman" w:eastAsia="方正小标宋_GBK" w:cs="Times New Roman"/>
          <w:color w:val="333333"/>
          <w:kern w:val="0"/>
          <w:sz w:val="44"/>
          <w:szCs w:val="44"/>
        </w:rPr>
        <w:t>整体支出绩效自评报告</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 </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Times New Roman" w:hAnsi="Times New Roman" w:eastAsia="仿宋" w:cs="Times New Roman"/>
          <w:bCs/>
          <w:color w:val="333333"/>
          <w:kern w:val="0"/>
          <w:sz w:val="32"/>
          <w:szCs w:val="32"/>
        </w:rPr>
      </w:pPr>
      <w:r>
        <w:rPr>
          <w:rFonts w:hint="default" w:ascii="Times New Roman" w:hAnsi="Times New Roman" w:eastAsia="仿宋" w:cs="Times New Roman"/>
          <w:bCs/>
          <w:color w:val="333333"/>
          <w:kern w:val="0"/>
          <w:sz w:val="32"/>
          <w:szCs w:val="32"/>
        </w:rPr>
        <w:t>为加强财政支出管理，提高财政资金使用效益，根据《中共中央国务院关于全面实施预算绩效管理的意见》（中发〔2018</w:t>
      </w:r>
      <w:r>
        <w:rPr>
          <w:rFonts w:hint="eastAsia" w:ascii="Times New Roman" w:hAnsi="Times New Roman" w:eastAsia="仿宋" w:cs="Times New Roman"/>
          <w:bCs/>
          <w:color w:val="333333"/>
          <w:kern w:val="0"/>
          <w:sz w:val="32"/>
          <w:szCs w:val="32"/>
        </w:rPr>
        <w:t>〕</w:t>
      </w:r>
      <w:r>
        <w:rPr>
          <w:rFonts w:hint="default" w:ascii="Times New Roman" w:hAnsi="Times New Roman" w:eastAsia="仿宋" w:cs="Times New Roman"/>
          <w:bCs/>
          <w:color w:val="333333"/>
          <w:kern w:val="0"/>
          <w:sz w:val="32"/>
          <w:szCs w:val="32"/>
        </w:rPr>
        <w:t>34</w:t>
      </w:r>
      <w:r>
        <w:rPr>
          <w:rFonts w:hint="eastAsia" w:ascii="Times New Roman" w:hAnsi="Times New Roman" w:eastAsia="仿宋" w:cs="Times New Roman"/>
          <w:bCs/>
          <w:color w:val="333333"/>
          <w:kern w:val="0"/>
          <w:sz w:val="32"/>
          <w:szCs w:val="32"/>
        </w:rPr>
        <w:t>号）等文件要求，</w:t>
      </w:r>
      <w:r>
        <w:rPr>
          <w:rFonts w:hint="default" w:ascii="Times New Roman" w:hAnsi="Times New Roman" w:eastAsia="仿宋" w:cs="Times New Roman"/>
          <w:bCs/>
          <w:color w:val="333333"/>
          <w:kern w:val="0"/>
          <w:sz w:val="32"/>
          <w:szCs w:val="32"/>
        </w:rPr>
        <w:t>对</w:t>
      </w:r>
      <w:r>
        <w:rPr>
          <w:rFonts w:hint="eastAsia" w:ascii="Times New Roman" w:hAnsi="Times New Roman" w:eastAsia="仿宋" w:cs="Times New Roman"/>
          <w:bCs/>
          <w:color w:val="333333"/>
          <w:kern w:val="0"/>
          <w:sz w:val="32"/>
          <w:szCs w:val="32"/>
          <w:lang w:val="en-US" w:eastAsia="zh-CN"/>
        </w:rPr>
        <w:t>我中心2025</w:t>
      </w:r>
      <w:r>
        <w:rPr>
          <w:rFonts w:hint="eastAsia" w:ascii="Times New Roman" w:hAnsi="Times New Roman" w:eastAsia="仿宋" w:cs="Times New Roman"/>
          <w:bCs/>
          <w:color w:val="333333"/>
          <w:kern w:val="0"/>
          <w:sz w:val="32"/>
          <w:szCs w:val="32"/>
          <w:lang w:eastAsia="zh-CN"/>
        </w:rPr>
        <w:t>年度</w:t>
      </w:r>
      <w:r>
        <w:rPr>
          <w:rFonts w:hint="default" w:ascii="Times New Roman" w:hAnsi="Times New Roman" w:eastAsia="仿宋" w:cs="Times New Roman"/>
          <w:bCs/>
          <w:color w:val="333333"/>
          <w:kern w:val="0"/>
          <w:sz w:val="32"/>
          <w:szCs w:val="32"/>
        </w:rPr>
        <w:t>整体支出进行了绩效自评。评价采用定量分析和定性分析相结合的方法，从预算配置、履职效益、预算管理、职责履行、预算执行情况和政策措施有效性、预算执行进度、预决算信息公开，以及“三公经费”和运行经费支出控制情况等方面进行了综合评价。现将绩效自评情况报告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333333"/>
          <w:kern w:val="0"/>
          <w:sz w:val="32"/>
          <w:szCs w:val="32"/>
          <w:lang w:val="en-US" w:eastAsia="zh-CN"/>
        </w:rPr>
      </w:pPr>
      <w:r>
        <w:rPr>
          <w:rFonts w:hint="eastAsia" w:ascii="方正黑体_GBK" w:hAnsi="方正黑体_GBK" w:eastAsia="方正黑体_GBK" w:cs="方正黑体_GBK"/>
          <w:color w:val="333333"/>
          <w:kern w:val="0"/>
          <w:sz w:val="32"/>
          <w:szCs w:val="32"/>
          <w:lang w:val="en-US" w:eastAsia="zh-CN"/>
        </w:rPr>
        <w:t>一、单位基本情况</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楷体" w:hAnsi="楷体" w:eastAsia="楷体" w:cs="楷体"/>
          <w:bCs/>
          <w:color w:val="333333"/>
          <w:kern w:val="0"/>
          <w:sz w:val="32"/>
          <w:szCs w:val="32"/>
        </w:rPr>
      </w:pPr>
      <w:r>
        <w:rPr>
          <w:rFonts w:hint="eastAsia" w:ascii="楷体" w:hAnsi="楷体" w:eastAsia="楷体" w:cs="楷体"/>
          <w:bCs/>
          <w:color w:val="333333"/>
          <w:kern w:val="0"/>
          <w:sz w:val="32"/>
          <w:szCs w:val="32"/>
        </w:rPr>
        <w:t>（一）单位概况</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Times New Roman" w:hAnsi="Times New Roman" w:eastAsia="仿宋" w:cs="Times New Roman"/>
          <w:bCs/>
          <w:color w:val="333333"/>
          <w:kern w:val="0"/>
          <w:sz w:val="32"/>
          <w:szCs w:val="32"/>
        </w:rPr>
      </w:pPr>
      <w:r>
        <w:rPr>
          <w:rFonts w:hint="default" w:ascii="Times New Roman" w:hAnsi="Times New Roman" w:eastAsia="仿宋" w:cs="Times New Roman"/>
          <w:bCs/>
          <w:color w:val="333333"/>
          <w:kern w:val="0"/>
          <w:sz w:val="32"/>
          <w:szCs w:val="32"/>
        </w:rPr>
        <w:t>南京市外事翻译中心2016</w:t>
      </w:r>
      <w:r>
        <w:rPr>
          <w:rFonts w:hint="eastAsia" w:ascii="Times New Roman" w:hAnsi="Times New Roman" w:eastAsia="仿宋" w:cs="Times New Roman"/>
          <w:bCs/>
          <w:color w:val="333333"/>
          <w:kern w:val="0"/>
          <w:sz w:val="32"/>
          <w:szCs w:val="32"/>
        </w:rPr>
        <w:t>年成立，为南京市人民政府外事办公室所属全额拨款事业单位，公益一类，主要承担为我市各类外事活动、大型涉外活动、出访团组提供高质量翻译、会务、咨询、培训等服务工作。经核定，本中心全额拨款事业编制</w:t>
      </w:r>
      <w:r>
        <w:rPr>
          <w:rFonts w:hint="default" w:ascii="Times New Roman" w:hAnsi="Times New Roman" w:eastAsia="仿宋" w:cs="Times New Roman"/>
          <w:bCs/>
          <w:color w:val="333333"/>
          <w:kern w:val="0"/>
          <w:sz w:val="32"/>
          <w:szCs w:val="32"/>
        </w:rPr>
        <w:t>9</w:t>
      </w:r>
      <w:r>
        <w:rPr>
          <w:rFonts w:hint="eastAsia" w:ascii="Times New Roman" w:hAnsi="Times New Roman" w:eastAsia="仿宋" w:cs="Times New Roman"/>
          <w:bCs/>
          <w:color w:val="333333"/>
          <w:kern w:val="0"/>
          <w:sz w:val="32"/>
          <w:szCs w:val="32"/>
        </w:rPr>
        <w:t>人，截至</w:t>
      </w:r>
      <w:r>
        <w:rPr>
          <w:rFonts w:hint="default" w:ascii="Times New Roman" w:hAnsi="Times New Roman" w:eastAsia="仿宋" w:cs="Times New Roman"/>
          <w:bCs/>
          <w:color w:val="333333"/>
          <w:kern w:val="0"/>
          <w:sz w:val="32"/>
          <w:szCs w:val="32"/>
        </w:rPr>
        <w:t>202</w:t>
      </w:r>
      <w:r>
        <w:rPr>
          <w:rFonts w:hint="eastAsia" w:ascii="Times New Roman" w:hAnsi="Times New Roman" w:eastAsia="仿宋" w:cs="Times New Roman"/>
          <w:bCs/>
          <w:color w:val="333333"/>
          <w:kern w:val="0"/>
          <w:sz w:val="32"/>
          <w:szCs w:val="32"/>
          <w:lang w:val="en-US" w:eastAsia="zh-CN"/>
        </w:rPr>
        <w:t>5</w:t>
      </w:r>
      <w:r>
        <w:rPr>
          <w:rFonts w:hint="eastAsia" w:ascii="Times New Roman" w:hAnsi="Times New Roman" w:eastAsia="仿宋" w:cs="Times New Roman"/>
          <w:bCs/>
          <w:color w:val="333333"/>
          <w:kern w:val="0"/>
          <w:sz w:val="32"/>
          <w:szCs w:val="32"/>
        </w:rPr>
        <w:t>年末实有</w:t>
      </w:r>
      <w:r>
        <w:rPr>
          <w:rFonts w:hint="eastAsia" w:ascii="Times New Roman" w:hAnsi="Times New Roman" w:eastAsia="仿宋" w:cs="Times New Roman"/>
          <w:bCs/>
          <w:color w:val="333333"/>
          <w:kern w:val="0"/>
          <w:sz w:val="32"/>
          <w:szCs w:val="32"/>
          <w:lang w:val="en-US" w:eastAsia="zh-CN"/>
        </w:rPr>
        <w:t>7</w:t>
      </w:r>
      <w:r>
        <w:rPr>
          <w:rFonts w:hint="eastAsia" w:ascii="Times New Roman" w:hAnsi="Times New Roman" w:eastAsia="仿宋" w:cs="Times New Roman"/>
          <w:bCs/>
          <w:color w:val="333333"/>
          <w:kern w:val="0"/>
          <w:sz w:val="32"/>
          <w:szCs w:val="32"/>
        </w:rPr>
        <w:t>人。</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楷体" w:hAnsi="楷体" w:eastAsia="楷体" w:cs="楷体"/>
          <w:bCs/>
          <w:color w:val="333333"/>
          <w:kern w:val="0"/>
          <w:sz w:val="32"/>
          <w:szCs w:val="32"/>
        </w:rPr>
      </w:pPr>
      <w:r>
        <w:rPr>
          <w:rFonts w:hint="default" w:ascii="楷体" w:hAnsi="楷体" w:eastAsia="楷体" w:cs="楷体"/>
          <w:bCs/>
          <w:color w:val="333333"/>
          <w:kern w:val="0"/>
          <w:sz w:val="32"/>
          <w:szCs w:val="32"/>
        </w:rPr>
        <w:t>（二）</w:t>
      </w:r>
      <w:r>
        <w:rPr>
          <w:rFonts w:hint="default" w:ascii="楷体" w:hAnsi="楷体" w:eastAsia="楷体" w:cs="楷体"/>
          <w:bCs/>
          <w:color w:val="333333"/>
          <w:kern w:val="0"/>
          <w:sz w:val="32"/>
          <w:szCs w:val="32"/>
          <w:lang w:val="en-US" w:eastAsia="zh-CN"/>
        </w:rPr>
        <w:t>单位</w:t>
      </w:r>
      <w:r>
        <w:rPr>
          <w:rFonts w:hint="default" w:ascii="楷体" w:hAnsi="楷体" w:eastAsia="楷体" w:cs="楷体"/>
          <w:bCs/>
          <w:color w:val="333333"/>
          <w:kern w:val="0"/>
          <w:sz w:val="32"/>
          <w:szCs w:val="32"/>
        </w:rPr>
        <w:t>收支情况</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 w:cs="Times New Roman"/>
          <w:color w:val="333333"/>
          <w:kern w:val="0"/>
          <w:sz w:val="32"/>
          <w:szCs w:val="32"/>
        </w:rPr>
      </w:pPr>
      <w:r>
        <w:rPr>
          <w:rFonts w:hint="default" w:ascii="Times New Roman" w:hAnsi="Times New Roman" w:eastAsia="仿宋" w:cs="Times New Roman"/>
          <w:color w:val="333333"/>
          <w:kern w:val="0"/>
          <w:sz w:val="32"/>
          <w:szCs w:val="32"/>
        </w:rPr>
        <w:t>202</w:t>
      </w:r>
      <w:r>
        <w:rPr>
          <w:rFonts w:hint="eastAsia" w:ascii="Times New Roman" w:hAnsi="Times New Roman" w:eastAsia="仿宋" w:cs="Times New Roman"/>
          <w:color w:val="333333"/>
          <w:kern w:val="0"/>
          <w:sz w:val="32"/>
          <w:szCs w:val="32"/>
          <w:lang w:val="en-US" w:eastAsia="zh-CN"/>
        </w:rPr>
        <w:t>5</w:t>
      </w:r>
      <w:r>
        <w:rPr>
          <w:rFonts w:hint="default" w:ascii="Times New Roman" w:hAnsi="Times New Roman" w:eastAsia="仿宋" w:cs="Times New Roman"/>
          <w:color w:val="333333"/>
          <w:kern w:val="0"/>
          <w:sz w:val="32"/>
          <w:szCs w:val="32"/>
        </w:rPr>
        <w:t>年</w:t>
      </w:r>
      <w:r>
        <w:rPr>
          <w:rFonts w:hint="default" w:ascii="Times New Roman" w:hAnsi="Times New Roman" w:eastAsia="仿宋" w:cs="Times New Roman"/>
          <w:color w:val="333333"/>
          <w:kern w:val="0"/>
          <w:sz w:val="32"/>
          <w:szCs w:val="32"/>
          <w:lang w:val="en-US" w:eastAsia="zh-CN"/>
        </w:rPr>
        <w:t>度</w:t>
      </w:r>
      <w:r>
        <w:rPr>
          <w:rFonts w:hint="default" w:ascii="Times New Roman" w:hAnsi="Times New Roman" w:eastAsia="仿宋" w:cs="Times New Roman"/>
          <w:color w:val="333333"/>
          <w:kern w:val="0"/>
          <w:sz w:val="32"/>
          <w:szCs w:val="32"/>
        </w:rPr>
        <w:t>市财政局批复</w:t>
      </w:r>
      <w:r>
        <w:rPr>
          <w:rFonts w:hint="default" w:ascii="Times New Roman" w:hAnsi="Times New Roman" w:eastAsia="仿宋" w:cs="Times New Roman"/>
          <w:color w:val="333333"/>
          <w:kern w:val="0"/>
          <w:sz w:val="32"/>
          <w:szCs w:val="32"/>
          <w:lang w:val="en-US" w:eastAsia="zh-CN"/>
        </w:rPr>
        <w:t>我中心</w:t>
      </w:r>
      <w:r>
        <w:rPr>
          <w:rFonts w:hint="default" w:ascii="Times New Roman" w:hAnsi="Times New Roman" w:eastAsia="仿宋" w:cs="Times New Roman"/>
          <w:color w:val="333333"/>
          <w:kern w:val="0"/>
          <w:sz w:val="32"/>
          <w:szCs w:val="32"/>
        </w:rPr>
        <w:t>预算收入总计为</w:t>
      </w:r>
      <w:r>
        <w:rPr>
          <w:rFonts w:hint="eastAsia" w:ascii="Times New Roman" w:hAnsi="Times New Roman" w:eastAsia="仿宋" w:cs="Times New Roman"/>
          <w:color w:val="333333"/>
          <w:kern w:val="0"/>
          <w:sz w:val="32"/>
          <w:szCs w:val="32"/>
          <w:lang w:val="en-US" w:eastAsia="zh-CN"/>
        </w:rPr>
        <w:t>163.19</w:t>
      </w:r>
      <w:r>
        <w:rPr>
          <w:rFonts w:hint="default" w:ascii="Times New Roman" w:hAnsi="Times New Roman" w:eastAsia="仿宋" w:cs="Times New Roman"/>
          <w:color w:val="333333"/>
          <w:kern w:val="0"/>
          <w:sz w:val="32"/>
          <w:szCs w:val="32"/>
        </w:rPr>
        <w:t>万元，调整后预算收入总计</w:t>
      </w:r>
      <w:r>
        <w:rPr>
          <w:rFonts w:hint="eastAsia" w:ascii="Times New Roman" w:hAnsi="Times New Roman" w:eastAsia="仿宋" w:cs="Times New Roman"/>
          <w:color w:val="333333"/>
          <w:kern w:val="0"/>
          <w:sz w:val="32"/>
          <w:szCs w:val="32"/>
          <w:lang w:val="en-US" w:eastAsia="zh-CN"/>
        </w:rPr>
        <w:t>187.74</w:t>
      </w:r>
      <w:r>
        <w:rPr>
          <w:rFonts w:hint="default" w:ascii="Times New Roman" w:hAnsi="Times New Roman" w:eastAsia="仿宋" w:cs="Times New Roman"/>
          <w:color w:val="333333"/>
          <w:kern w:val="0"/>
          <w:sz w:val="32"/>
          <w:szCs w:val="32"/>
        </w:rPr>
        <w:t>万元；实际全年收入</w:t>
      </w:r>
      <w:r>
        <w:rPr>
          <w:rFonts w:hint="eastAsia" w:ascii="Times New Roman" w:hAnsi="Times New Roman" w:eastAsia="仿宋" w:cs="Times New Roman"/>
          <w:color w:val="333333"/>
          <w:kern w:val="0"/>
          <w:sz w:val="32"/>
          <w:szCs w:val="32"/>
          <w:lang w:val="en-US" w:eastAsia="zh-CN"/>
        </w:rPr>
        <w:t>187.74</w:t>
      </w:r>
      <w:r>
        <w:rPr>
          <w:rFonts w:hint="default" w:ascii="Times New Roman" w:hAnsi="Times New Roman" w:eastAsia="仿宋" w:cs="Times New Roman"/>
          <w:color w:val="333333"/>
          <w:kern w:val="0"/>
          <w:sz w:val="32"/>
          <w:szCs w:val="32"/>
        </w:rPr>
        <w:t>万元；202</w:t>
      </w:r>
      <w:r>
        <w:rPr>
          <w:rFonts w:hint="eastAsia" w:ascii="Times New Roman" w:hAnsi="Times New Roman" w:eastAsia="仿宋" w:cs="Times New Roman"/>
          <w:color w:val="333333"/>
          <w:kern w:val="0"/>
          <w:sz w:val="32"/>
          <w:szCs w:val="32"/>
          <w:lang w:val="en-US" w:eastAsia="zh-CN"/>
        </w:rPr>
        <w:t>5</w:t>
      </w:r>
      <w:r>
        <w:rPr>
          <w:rFonts w:hint="default" w:ascii="Times New Roman" w:hAnsi="Times New Roman" w:eastAsia="仿宋" w:cs="Times New Roman"/>
          <w:color w:val="333333"/>
          <w:kern w:val="0"/>
          <w:sz w:val="32"/>
          <w:szCs w:val="32"/>
        </w:rPr>
        <w:t>年实际决算支出</w:t>
      </w:r>
      <w:r>
        <w:rPr>
          <w:rFonts w:hint="default" w:ascii="Times New Roman" w:hAnsi="Times New Roman" w:eastAsia="仿宋" w:cs="Times New Roman"/>
          <w:color w:val="333333"/>
          <w:kern w:val="0"/>
          <w:sz w:val="32"/>
          <w:szCs w:val="32"/>
          <w:lang w:val="en-US" w:eastAsia="zh-CN"/>
        </w:rPr>
        <w:t>1</w:t>
      </w:r>
      <w:r>
        <w:rPr>
          <w:rFonts w:hint="eastAsia" w:ascii="Times New Roman" w:hAnsi="Times New Roman" w:eastAsia="仿宋" w:cs="Times New Roman"/>
          <w:color w:val="333333"/>
          <w:kern w:val="0"/>
          <w:sz w:val="32"/>
          <w:szCs w:val="32"/>
          <w:lang w:val="en-US" w:eastAsia="zh-CN"/>
        </w:rPr>
        <w:t>84.06</w:t>
      </w:r>
      <w:r>
        <w:rPr>
          <w:rFonts w:hint="default" w:ascii="Times New Roman" w:hAnsi="Times New Roman" w:eastAsia="仿宋" w:cs="Times New Roman"/>
          <w:color w:val="333333"/>
          <w:kern w:val="0"/>
          <w:sz w:val="32"/>
          <w:szCs w:val="32"/>
        </w:rPr>
        <w:t>万元。</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 w:cs="Times New Roman"/>
          <w:color w:val="333333"/>
          <w:kern w:val="0"/>
          <w:sz w:val="32"/>
          <w:szCs w:val="32"/>
        </w:rPr>
      </w:pPr>
      <w:r>
        <w:rPr>
          <w:rFonts w:hint="default" w:ascii="Times New Roman" w:hAnsi="Times New Roman" w:eastAsia="仿宋" w:cs="Times New Roman"/>
          <w:color w:val="333333"/>
          <w:kern w:val="0"/>
          <w:sz w:val="32"/>
          <w:szCs w:val="32"/>
        </w:rPr>
        <w:t>202</w:t>
      </w:r>
      <w:r>
        <w:rPr>
          <w:rFonts w:hint="eastAsia" w:ascii="Times New Roman" w:hAnsi="Times New Roman" w:eastAsia="仿宋" w:cs="Times New Roman"/>
          <w:color w:val="333333"/>
          <w:kern w:val="0"/>
          <w:sz w:val="32"/>
          <w:szCs w:val="32"/>
          <w:lang w:val="en-US" w:eastAsia="zh-CN"/>
        </w:rPr>
        <w:t>5</w:t>
      </w:r>
      <w:r>
        <w:rPr>
          <w:rFonts w:hint="default" w:ascii="Times New Roman" w:hAnsi="Times New Roman" w:eastAsia="仿宋" w:cs="Times New Roman"/>
          <w:color w:val="333333"/>
          <w:kern w:val="0"/>
          <w:sz w:val="32"/>
          <w:szCs w:val="32"/>
        </w:rPr>
        <w:t>年</w:t>
      </w:r>
      <w:r>
        <w:rPr>
          <w:rFonts w:hint="default" w:ascii="Times New Roman" w:hAnsi="Times New Roman" w:eastAsia="仿宋" w:cs="Times New Roman"/>
          <w:color w:val="333333"/>
          <w:kern w:val="0"/>
          <w:sz w:val="32"/>
          <w:szCs w:val="32"/>
          <w:lang w:val="en-US" w:eastAsia="zh-CN"/>
        </w:rPr>
        <w:t>度部门</w:t>
      </w:r>
      <w:r>
        <w:rPr>
          <w:rFonts w:hint="default" w:ascii="Times New Roman" w:hAnsi="Times New Roman" w:eastAsia="仿宋" w:cs="Times New Roman"/>
          <w:color w:val="333333"/>
          <w:kern w:val="0"/>
          <w:sz w:val="32"/>
          <w:szCs w:val="32"/>
        </w:rPr>
        <w:t>决算总支出</w:t>
      </w:r>
      <w:r>
        <w:rPr>
          <w:rFonts w:hint="default" w:ascii="Times New Roman" w:hAnsi="Times New Roman" w:eastAsia="仿宋" w:cs="Times New Roman"/>
          <w:color w:val="333333"/>
          <w:kern w:val="0"/>
          <w:sz w:val="32"/>
          <w:szCs w:val="32"/>
          <w:lang w:val="en-US" w:eastAsia="zh-CN"/>
        </w:rPr>
        <w:t>1</w:t>
      </w:r>
      <w:r>
        <w:rPr>
          <w:rFonts w:hint="eastAsia" w:ascii="Times New Roman" w:hAnsi="Times New Roman" w:eastAsia="仿宋" w:cs="Times New Roman"/>
          <w:color w:val="333333"/>
          <w:kern w:val="0"/>
          <w:sz w:val="32"/>
          <w:szCs w:val="32"/>
          <w:lang w:val="en-US" w:eastAsia="zh-CN"/>
        </w:rPr>
        <w:t>84.06</w:t>
      </w:r>
      <w:r>
        <w:rPr>
          <w:rFonts w:hint="default" w:ascii="Times New Roman" w:hAnsi="Times New Roman" w:eastAsia="仿宋" w:cs="Times New Roman"/>
          <w:color w:val="333333"/>
          <w:kern w:val="0"/>
          <w:sz w:val="32"/>
          <w:szCs w:val="32"/>
        </w:rPr>
        <w:t>万元。按支出功能分类，其中：基本支出</w:t>
      </w:r>
      <w:r>
        <w:rPr>
          <w:rFonts w:hint="eastAsia" w:ascii="Times New Roman" w:hAnsi="Times New Roman" w:eastAsia="仿宋" w:cs="Times New Roman"/>
          <w:color w:val="333333"/>
          <w:kern w:val="0"/>
          <w:sz w:val="32"/>
          <w:szCs w:val="32"/>
          <w:lang w:val="en-US" w:eastAsia="zh-CN"/>
        </w:rPr>
        <w:t>183.71</w:t>
      </w:r>
      <w:r>
        <w:rPr>
          <w:rFonts w:hint="default" w:ascii="Times New Roman" w:hAnsi="Times New Roman" w:eastAsia="仿宋" w:cs="Times New Roman"/>
          <w:color w:val="333333"/>
          <w:kern w:val="0"/>
          <w:sz w:val="32"/>
          <w:szCs w:val="32"/>
        </w:rPr>
        <w:t>万元、项目支出</w:t>
      </w:r>
      <w:r>
        <w:rPr>
          <w:rFonts w:hint="default" w:ascii="Times New Roman" w:hAnsi="Times New Roman" w:eastAsia="仿宋" w:cs="Times New Roman"/>
          <w:color w:val="333333"/>
          <w:kern w:val="0"/>
          <w:sz w:val="32"/>
          <w:szCs w:val="32"/>
          <w:lang w:val="en-US" w:eastAsia="zh-CN"/>
        </w:rPr>
        <w:t>0.</w:t>
      </w:r>
      <w:r>
        <w:rPr>
          <w:rFonts w:hint="eastAsia" w:ascii="Times New Roman" w:hAnsi="Times New Roman" w:eastAsia="仿宋" w:cs="Times New Roman"/>
          <w:color w:val="333333"/>
          <w:kern w:val="0"/>
          <w:sz w:val="32"/>
          <w:szCs w:val="32"/>
          <w:lang w:val="en-US" w:eastAsia="zh-CN"/>
        </w:rPr>
        <w:t>35</w:t>
      </w:r>
      <w:r>
        <w:rPr>
          <w:rFonts w:hint="default" w:ascii="Times New Roman" w:hAnsi="Times New Roman" w:eastAsia="仿宋" w:cs="Times New Roman"/>
          <w:color w:val="333333"/>
          <w:kern w:val="0"/>
          <w:sz w:val="32"/>
          <w:szCs w:val="32"/>
        </w:rPr>
        <w:t>万元；</w:t>
      </w:r>
      <w:r>
        <w:rPr>
          <w:rFonts w:hint="eastAsia" w:ascii="Times New Roman" w:hAnsi="Times New Roman" w:eastAsia="仿宋" w:cs="Times New Roman"/>
          <w:color w:val="333333"/>
          <w:kern w:val="0"/>
          <w:sz w:val="32"/>
          <w:szCs w:val="32"/>
          <w:lang w:val="en-US" w:eastAsia="zh-CN"/>
        </w:rPr>
        <w:t>基本支出</w:t>
      </w:r>
      <w:r>
        <w:rPr>
          <w:rFonts w:hint="default" w:ascii="Times New Roman" w:hAnsi="Times New Roman" w:eastAsia="仿宋" w:cs="Times New Roman"/>
          <w:color w:val="333333"/>
          <w:kern w:val="0"/>
          <w:sz w:val="32"/>
          <w:szCs w:val="32"/>
        </w:rPr>
        <w:t>按经济用途分类，其中：工资福利支出</w:t>
      </w:r>
      <w:r>
        <w:rPr>
          <w:rFonts w:hint="eastAsia" w:ascii="Times New Roman" w:hAnsi="Times New Roman" w:eastAsia="仿宋" w:cs="Times New Roman"/>
          <w:color w:val="333333"/>
          <w:kern w:val="0"/>
          <w:sz w:val="32"/>
          <w:szCs w:val="32"/>
          <w:lang w:val="en-US" w:eastAsia="zh-CN"/>
        </w:rPr>
        <w:t>177.04</w:t>
      </w:r>
      <w:r>
        <w:rPr>
          <w:rFonts w:hint="default" w:ascii="Times New Roman" w:hAnsi="Times New Roman" w:eastAsia="仿宋" w:cs="Times New Roman"/>
          <w:color w:val="333333"/>
          <w:kern w:val="0"/>
          <w:sz w:val="32"/>
          <w:szCs w:val="32"/>
        </w:rPr>
        <w:t>万元、商品和服务支出</w:t>
      </w:r>
      <w:r>
        <w:rPr>
          <w:rFonts w:hint="eastAsia" w:ascii="Times New Roman" w:hAnsi="Times New Roman" w:eastAsia="仿宋" w:cs="Times New Roman"/>
          <w:color w:val="333333"/>
          <w:kern w:val="0"/>
          <w:sz w:val="32"/>
          <w:szCs w:val="32"/>
          <w:lang w:val="en-US" w:eastAsia="zh-CN"/>
        </w:rPr>
        <w:t>6.35</w:t>
      </w:r>
      <w:r>
        <w:rPr>
          <w:rFonts w:hint="default" w:ascii="Times New Roman" w:hAnsi="Times New Roman" w:eastAsia="仿宋" w:cs="Times New Roman"/>
          <w:color w:val="333333"/>
          <w:kern w:val="0"/>
          <w:sz w:val="32"/>
          <w:szCs w:val="32"/>
        </w:rPr>
        <w:t>万元，对个人和家庭的补助</w:t>
      </w:r>
      <w:r>
        <w:rPr>
          <w:rFonts w:hint="default" w:ascii="Times New Roman" w:hAnsi="Times New Roman" w:eastAsia="仿宋" w:cs="Times New Roman"/>
          <w:color w:val="333333"/>
          <w:kern w:val="0"/>
          <w:sz w:val="32"/>
          <w:szCs w:val="32"/>
          <w:lang w:val="en-US" w:eastAsia="zh-CN"/>
        </w:rPr>
        <w:t>0.</w:t>
      </w:r>
      <w:r>
        <w:rPr>
          <w:rFonts w:hint="eastAsia" w:ascii="Times New Roman" w:hAnsi="Times New Roman" w:eastAsia="仿宋" w:cs="Times New Roman"/>
          <w:color w:val="333333"/>
          <w:kern w:val="0"/>
          <w:sz w:val="32"/>
          <w:szCs w:val="32"/>
          <w:lang w:val="en-US" w:eastAsia="zh-CN"/>
        </w:rPr>
        <w:t>32</w:t>
      </w:r>
      <w:r>
        <w:rPr>
          <w:rFonts w:hint="default" w:ascii="Times New Roman" w:hAnsi="Times New Roman" w:eastAsia="仿宋" w:cs="Times New Roman"/>
          <w:color w:val="333333"/>
          <w:kern w:val="0"/>
          <w:sz w:val="32"/>
          <w:szCs w:val="32"/>
        </w:rPr>
        <w:t>万元。</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楷体" w:hAnsi="楷体" w:eastAsia="楷体" w:cs="楷体"/>
          <w:bCs/>
          <w:color w:val="333333"/>
          <w:kern w:val="0"/>
          <w:sz w:val="32"/>
          <w:szCs w:val="32"/>
        </w:rPr>
      </w:pPr>
      <w:r>
        <w:rPr>
          <w:rFonts w:hint="default" w:ascii="楷体" w:hAnsi="楷体" w:eastAsia="楷体" w:cs="楷体"/>
          <w:bCs/>
          <w:color w:val="333333"/>
          <w:kern w:val="0"/>
          <w:sz w:val="32"/>
          <w:szCs w:val="32"/>
        </w:rPr>
        <w:t>（三）部门绩效目标</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 w:cs="Times New Roman"/>
          <w:color w:val="333333"/>
          <w:kern w:val="0"/>
          <w:sz w:val="32"/>
          <w:szCs w:val="32"/>
        </w:rPr>
      </w:pPr>
      <w:r>
        <w:rPr>
          <w:rFonts w:hint="default" w:ascii="Times New Roman" w:hAnsi="Times New Roman" w:eastAsia="仿宋" w:cs="Times New Roman"/>
          <w:color w:val="333333"/>
          <w:kern w:val="0"/>
          <w:sz w:val="32"/>
          <w:szCs w:val="32"/>
        </w:rPr>
        <w:t>202</w:t>
      </w:r>
      <w:r>
        <w:rPr>
          <w:rFonts w:hint="eastAsia" w:ascii="Times New Roman" w:hAnsi="Times New Roman" w:eastAsia="仿宋" w:cs="Times New Roman"/>
          <w:color w:val="333333"/>
          <w:kern w:val="0"/>
          <w:sz w:val="32"/>
          <w:szCs w:val="32"/>
          <w:lang w:val="en-US" w:eastAsia="zh-CN"/>
        </w:rPr>
        <w:t>5</w:t>
      </w:r>
      <w:r>
        <w:rPr>
          <w:rFonts w:hint="default" w:ascii="Times New Roman" w:hAnsi="Times New Roman" w:eastAsia="仿宋" w:cs="Times New Roman"/>
          <w:color w:val="333333"/>
          <w:kern w:val="0"/>
          <w:sz w:val="32"/>
          <w:szCs w:val="32"/>
        </w:rPr>
        <w:t>年度主要工作安排如下：</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1.持续做好翻译及礼宾工作。完成以市政府名义举办的重大国际活动、市委市政府重要外事文件翻译及活动外事礼宾服务保障等工作。</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2.深入开展对外交流工作。按照主管部门工作统筹，保障好市领导出访工作，做好外事接待工作。</w:t>
      </w:r>
      <w:r>
        <w:rPr>
          <w:rFonts w:hint="eastAsia" w:ascii="Times New Roman" w:hAnsi="Times New Roman" w:eastAsia="仿宋" w:cs="Times New Roman"/>
          <w:color w:val="333333"/>
          <w:kern w:val="0"/>
          <w:sz w:val="32"/>
          <w:szCs w:val="32"/>
          <w:lang w:val="en-US" w:eastAsia="zh-CN"/>
        </w:rPr>
        <w:tab/>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3.推进外语志愿者工作。统筹外语志愿服务联盟工作，组织大学生、外籍在宁人士参加志愿服务。</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 w:cs="Times New Roman"/>
          <w:color w:val="333333"/>
          <w:kern w:val="0"/>
          <w:sz w:val="32"/>
          <w:szCs w:val="32"/>
        </w:rPr>
      </w:pPr>
      <w:r>
        <w:rPr>
          <w:rFonts w:hint="eastAsia" w:ascii="Times New Roman" w:hAnsi="Times New Roman" w:eastAsia="仿宋" w:cs="Times New Roman"/>
          <w:color w:val="333333"/>
          <w:kern w:val="0"/>
          <w:sz w:val="32"/>
          <w:szCs w:val="32"/>
          <w:lang w:val="en-US" w:eastAsia="zh-CN"/>
        </w:rPr>
        <w:t>4.加强外事信息编译和语言能力建设。服务我市经济社会发展，收集、编译国外城市发展、经贸、文化等信息，为我市城市发展提供参考。统筹全办语言干部业务能力建设，优化城市国际语言环境。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val="en-US" w:eastAsia="zh-CN"/>
        </w:rPr>
      </w:pPr>
      <w:r>
        <w:rPr>
          <w:rFonts w:hint="eastAsia" w:ascii="黑体" w:hAnsi="黑体" w:eastAsia="黑体" w:cs="黑体"/>
          <w:color w:val="333333"/>
          <w:kern w:val="0"/>
          <w:sz w:val="32"/>
          <w:szCs w:val="32"/>
          <w:lang w:val="en-US" w:eastAsia="zh-CN"/>
        </w:rPr>
        <w:t>二、评价结论</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仿宋" w:hAnsi="仿宋" w:eastAsia="仿宋" w:cs="仿宋"/>
          <w:color w:val="333333"/>
          <w:kern w:val="0"/>
          <w:sz w:val="32"/>
          <w:szCs w:val="32"/>
          <w:lang w:val="en-US" w:eastAsia="zh-CN"/>
        </w:rPr>
      </w:pPr>
      <w:r>
        <w:rPr>
          <w:rFonts w:hint="eastAsia" w:ascii="仿宋" w:hAnsi="仿宋" w:eastAsia="仿宋" w:cs="仿宋"/>
          <w:color w:val="333333"/>
          <w:kern w:val="0"/>
          <w:sz w:val="32"/>
          <w:szCs w:val="32"/>
          <w:lang w:val="en-US" w:eastAsia="zh-CN"/>
        </w:rPr>
        <w:t>我中心</w:t>
      </w:r>
      <w:r>
        <w:rPr>
          <w:rFonts w:hint="eastAsia" w:ascii="仿宋" w:hAnsi="仿宋" w:eastAsia="仿宋" w:cs="仿宋"/>
          <w:color w:val="333333"/>
          <w:kern w:val="0"/>
          <w:sz w:val="32"/>
          <w:szCs w:val="32"/>
        </w:rPr>
        <w:t>根据</w:t>
      </w:r>
      <w:r>
        <w:rPr>
          <w:rFonts w:hint="eastAsia" w:ascii="仿宋" w:hAnsi="仿宋" w:eastAsia="仿宋" w:cs="仿宋"/>
          <w:color w:val="333333"/>
          <w:kern w:val="0"/>
          <w:sz w:val="32"/>
          <w:szCs w:val="32"/>
          <w:lang w:val="en-US" w:eastAsia="zh-CN"/>
        </w:rPr>
        <w:t>年度</w:t>
      </w:r>
      <w:r>
        <w:rPr>
          <w:rFonts w:hint="eastAsia" w:ascii="仿宋" w:hAnsi="仿宋" w:eastAsia="仿宋" w:cs="仿宋"/>
          <w:color w:val="333333"/>
          <w:kern w:val="0"/>
          <w:sz w:val="32"/>
          <w:szCs w:val="32"/>
        </w:rPr>
        <w:t>工作计划，认真履行职责，</w:t>
      </w:r>
      <w:r>
        <w:rPr>
          <w:rFonts w:hint="eastAsia" w:ascii="仿宋" w:hAnsi="仿宋" w:eastAsia="仿宋" w:cs="仿宋"/>
          <w:color w:val="333333"/>
          <w:kern w:val="0"/>
          <w:sz w:val="32"/>
          <w:szCs w:val="32"/>
          <w:lang w:val="en-US" w:eastAsia="zh-CN"/>
        </w:rPr>
        <w:t>高质量</w:t>
      </w:r>
      <w:r>
        <w:rPr>
          <w:rFonts w:hint="eastAsia" w:ascii="仿宋" w:hAnsi="仿宋" w:eastAsia="仿宋" w:cs="仿宋"/>
          <w:color w:val="333333"/>
          <w:kern w:val="0"/>
          <w:sz w:val="32"/>
          <w:szCs w:val="32"/>
        </w:rPr>
        <w:t>完成了年初确定的各项工作任务</w:t>
      </w:r>
      <w:r>
        <w:rPr>
          <w:rFonts w:hint="eastAsia" w:ascii="仿宋" w:hAnsi="仿宋" w:eastAsia="仿宋" w:cs="仿宋"/>
          <w:color w:val="333333"/>
          <w:kern w:val="0"/>
          <w:sz w:val="32"/>
          <w:szCs w:val="32"/>
          <w:lang w:eastAsia="zh-CN"/>
        </w:rPr>
        <w:t>，</w:t>
      </w:r>
      <w:r>
        <w:rPr>
          <w:rFonts w:hint="eastAsia" w:ascii="仿宋" w:hAnsi="仿宋" w:eastAsia="仿宋" w:cs="仿宋"/>
          <w:color w:val="333333"/>
          <w:kern w:val="0"/>
          <w:sz w:val="32"/>
          <w:szCs w:val="32"/>
          <w:lang w:val="en-US" w:eastAsia="zh-CN"/>
        </w:rPr>
        <w:t>达到了预期目标</w:t>
      </w:r>
      <w:r>
        <w:rPr>
          <w:rFonts w:hint="eastAsia" w:ascii="仿宋" w:hAnsi="仿宋" w:eastAsia="仿宋" w:cs="仿宋"/>
          <w:color w:val="333333"/>
          <w:kern w:val="0"/>
          <w:sz w:val="32"/>
          <w:szCs w:val="32"/>
        </w:rPr>
        <w:t xml:space="preserve">。 </w:t>
      </w:r>
      <w:r>
        <w:rPr>
          <w:rFonts w:hint="eastAsia" w:ascii="仿宋" w:hAnsi="仿宋" w:eastAsia="仿宋" w:cs="仿宋"/>
          <w:color w:val="333333"/>
          <w:kern w:val="0"/>
          <w:sz w:val="32"/>
          <w:szCs w:val="32"/>
          <w:lang w:val="en-US" w:eastAsia="zh-CN"/>
        </w:rPr>
        <w:t>根据《单位整体绩效评价指标》评分，全年绩效评价总分评为100分（详见附表），单位整体支出绩效为优。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val="en-US" w:eastAsia="zh-CN"/>
        </w:rPr>
      </w:pPr>
      <w:r>
        <w:rPr>
          <w:rFonts w:hint="eastAsia" w:ascii="黑体" w:hAnsi="黑体" w:eastAsia="黑体" w:cs="黑体"/>
          <w:color w:val="333333"/>
          <w:kern w:val="0"/>
          <w:sz w:val="32"/>
          <w:szCs w:val="32"/>
          <w:lang w:val="en-US" w:eastAsia="zh-CN"/>
        </w:rPr>
        <w:t>三、部门履职成效</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default" w:ascii="Times New Roman" w:hAnsi="Times New Roman" w:eastAsia="仿宋" w:cs="Times New Roman"/>
          <w:color w:val="333333"/>
          <w:kern w:val="0"/>
          <w:sz w:val="32"/>
          <w:szCs w:val="32"/>
          <w:lang w:val="en-US" w:eastAsia="zh-CN"/>
        </w:rPr>
      </w:pPr>
      <w:r>
        <w:rPr>
          <w:rFonts w:hint="default" w:ascii="Times New Roman" w:hAnsi="Times New Roman" w:eastAsia="仿宋" w:cs="Times New Roman"/>
          <w:color w:val="333333"/>
          <w:kern w:val="0"/>
          <w:sz w:val="32"/>
          <w:szCs w:val="32"/>
          <w:lang w:val="en-US" w:eastAsia="zh-CN"/>
        </w:rPr>
        <w:t>2025年外事翻译中心紧紧围绕中心职能和办党组交办任务，平稳有序推进各项工作。认真组织学习了二十届四中全会和习近平总书记重要讲话指示精神，在市委市政府和外办党组领导下，聚焦高水平翻译保障和业务品牌打造，高效率完成各项工作任务。</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rPr>
        <w:t>加强党建引领，提升团队能力</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2025年，中心党支部贯彻落实习近平新时代中国特色社会主义思想和习近平外交思想，组织学习党的</w:t>
      </w:r>
      <w:bookmarkStart w:id="0" w:name="_GoBack"/>
      <w:bookmarkEnd w:id="0"/>
      <w:r>
        <w:rPr>
          <w:rFonts w:hint="eastAsia" w:ascii="Times New Roman" w:hAnsi="Times New Roman" w:eastAsia="仿宋" w:cs="Times New Roman"/>
          <w:color w:val="333333"/>
          <w:kern w:val="0"/>
          <w:sz w:val="32"/>
          <w:szCs w:val="32"/>
          <w:lang w:val="en-US" w:eastAsia="zh-CN"/>
        </w:rPr>
        <w:t>二十大和二十届四中全会精神及习近平总书记对江苏工作重要讲话精神，通过开展深入贯彻中央八项规定精神学习教育、主题党课、与兄弟单位党支部和结对社区开展共建活动等多种形式加强支部党建。</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中心党支部狠抓党建与业务“双融双促”，努力打造一支政治过硬、专业精湛、作风优良的青年干部队伍，结合工作特色和专业优势，将理论学习与翻译业务切磋有机结合。一是定期组织学习交流、安排党员进高校进社区宣讲外事礼宾礼仪业务，坚定年轻党员的理想信念；二是积极做好外事活动的翻译保障以及全市重大外事活动的文稿翻译审核校对，守牢意识形态关，确保以政治正确、翻译精准的译文传播南京声音；三是加强品牌创建，打造“外事进高校、进社区、进基层”党建品牌，与晓庄学院国际交流处党支部、南京理工大学国际教育学院党支部以及建邺区长虹路社区党委等开展多种形式的支部共建。今年暑期与长虹路社区党委合作开展为期四周的“为小”服务暨 “外事筑梦”社区趣味课堂活动，推动市区两级党建工作“双结对、双促进”，助力“外事为民”理念在青少年培育中落地实践。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（二）协同开展工作，高质量完成翻译保障任务</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2025年翻译中心立足主业、明确职责，理顺客情预报和外事活动翻译保障等常规工作流程，与外办各处室加强沟通、协同合作，全年保障市领导会见文莱内政部长、新加坡总理公署部长、中欧商会副主席、意大利中国商会主席、欧美企业高管等，出席进博会、太湖论坛、新宁合作理事会等重大外事活动的翻译，口译工作时间总计达200小时；翻译南京市政府工作报告、英文网站领导分工板块等重要文件材料和审校南京城市年鉴、市政府新春联谊会、宁港合作交流会、科技创新和产业投资大会、金洽会、智能制造大会等全市重大活动展会的英文讲话稿、推介PPT、嘉宾名单和视频英文字幕等约12万3千字。</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翻译中心一方面提高站位、强化服务意识。服务国家总体外交、服务地方经济社会发展，守牢意识形态把关，防范译文出现重大表述和政治错误；一方面内外融合、发挥参谋助手作用。每周外事客情严格落实“三审三校”，做到杜绝文字错情；围绕国际交通枢纽建设的成功经验和全球足球行业最新发展动态以及推动城市经济发展的经验做法等热点和领导关注话题，发布了2期《外事信息编译》，加强信息的学习借鉴，充分发挥外事智囊助手作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（三）守正创新，争创处室工作亮点</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2025年中心整合外事资源和自身禀赋，发挥“南京市外语志愿服务联盟”机制作用，在推动外语志愿者工作和进一步扩大南京城市形象和营商环境的国际化传播方面做了一些工作。</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积极参与全市志愿服务工作协调小组，与市委社工部等部门共同主办“宁聚国际微光”2025南京国际志愿服务互鉴发展活动；与中山陵园管理局团委等部门合作培训外语志愿者队伍，面向国际游客提供外语讲解、文化传播与旅游咨询等公益服务；围绕全市工作大局，协助市委宣传部、团市委、体育局等单位，对2025南京世界田联室内锦标赛、国际大学生赛艇公开赛、汉学家文学翻译国际研讨会、2025射箭世界杯总决赛等重大国际赛事活动的大学生志愿者开展了涉外礼宾礼仪培训；开展志愿者和中外文化互鉴活动，与中山陵园管理局合作举办“秋到紫金山”对外文化交流暨外语志愿者风采展示活动，锻炼和展示了志愿者英语讲解能力，并邀请他们和留学生一起体验传统手工技艺，增进中外青年相互了解。以外，还积极开展“乘地铁 游南京”暨“啄木鸟行动”公共场所外语标识语纠错，组织高校学生、在宁外籍人士等开展纠错，发挥志愿服务力量助力南京国际语言环境建设和更高水平对外开放。</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建立外办国际传播月度信息交流机制，与市属传媒单位定期沟通和策划，积极向中国驻外使领馆和外交官提供南京宣传素材；充分用好“身边的国际社会”资源，用外国人喜闻乐见的方式开展各种文化互鉴和文化体验活动，组织外国留学生参加“逛南京、拍美景”和进景区文化交流，获我驻外大使馆点赞肯定；抓住宣传“关键人”放大传播效果，保障第七次汉学家文学翻译国际研讨会、世界市长对话和长江文化南京论坛等活动，对外展示中国式现代化南京新实践，获得来华政要的高度评价。</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（四）内外兼修，增强人才队伍建设</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2025年中心聚焦建章立制和人才队伍建设。起草并试行新的《南京市外事翻译中心管理规定》进一步规范财务报销和请销假制度；科学安排工作，统筹力量使用，对年轻干部多压担子、多交任务，充分挖掘和发挥干部的特质潜能。</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一方面着力打磨提升年轻干部的业务水平，确保“零失误”，开展 “事后复盘”，不断提升服务水平；另一方面“请进来”和“走出去”相结合，全年组织外办机关及中心干部5人次参加全省高级英语翻译和日/韩语翻译培训；与相关区和在宁高校合作培训外事接待人员，提高我市涉外工作队伍的能力和水平。</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val="en-US" w:eastAsia="zh-CN"/>
        </w:rPr>
      </w:pPr>
      <w:r>
        <w:rPr>
          <w:rFonts w:hint="eastAsia" w:ascii="黑体" w:hAnsi="黑体" w:eastAsia="黑体" w:cs="黑体"/>
          <w:color w:val="333333"/>
          <w:kern w:val="0"/>
          <w:sz w:val="32"/>
          <w:szCs w:val="32"/>
          <w:lang w:val="en-US" w:eastAsia="zh-CN"/>
        </w:rPr>
        <w:t>四、存在的主要问题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333333"/>
          <w:kern w:val="0"/>
          <w:sz w:val="32"/>
          <w:szCs w:val="32"/>
          <w:lang w:val="en-US" w:eastAsia="zh-CN"/>
        </w:rPr>
      </w:pPr>
      <w:r>
        <w:rPr>
          <w:rFonts w:hint="default" w:ascii="Times New Roman" w:hAnsi="Times New Roman" w:eastAsia="仿宋" w:cs="Times New Roman"/>
          <w:color w:val="333333"/>
          <w:kern w:val="0"/>
          <w:sz w:val="32"/>
          <w:szCs w:val="32"/>
          <w:lang w:val="en-US" w:eastAsia="zh-CN"/>
        </w:rPr>
        <w:t>绩效指标体系还不够完善</w:t>
      </w:r>
      <w:r>
        <w:rPr>
          <w:rFonts w:hint="eastAsia" w:ascii="Times New Roman" w:hAnsi="Times New Roman" w:eastAsia="仿宋" w:cs="Times New Roman"/>
          <w:color w:val="333333"/>
          <w:kern w:val="0"/>
          <w:sz w:val="32"/>
          <w:szCs w:val="32"/>
          <w:lang w:val="en-US" w:eastAsia="zh-CN"/>
        </w:rPr>
        <w:t>，</w:t>
      </w:r>
      <w:r>
        <w:rPr>
          <w:rFonts w:hint="default" w:ascii="Times New Roman" w:hAnsi="Times New Roman" w:eastAsia="仿宋" w:cs="Times New Roman"/>
          <w:color w:val="333333"/>
          <w:kern w:val="0"/>
          <w:sz w:val="32"/>
          <w:szCs w:val="32"/>
          <w:lang w:val="en-US" w:eastAsia="zh-CN"/>
        </w:rPr>
        <w:t>指标设置</w:t>
      </w:r>
      <w:r>
        <w:rPr>
          <w:rFonts w:hint="eastAsia" w:ascii="Times New Roman" w:hAnsi="Times New Roman" w:eastAsia="仿宋" w:cs="Times New Roman"/>
          <w:color w:val="333333"/>
          <w:kern w:val="0"/>
          <w:sz w:val="32"/>
          <w:szCs w:val="32"/>
          <w:lang w:val="en-US" w:eastAsia="zh-CN"/>
        </w:rPr>
        <w:t>合理性还需不断提升</w:t>
      </w:r>
      <w:r>
        <w:rPr>
          <w:rFonts w:hint="default" w:ascii="Times New Roman" w:hAnsi="Times New Roman" w:eastAsia="仿宋" w:cs="Times New Roman"/>
          <w:color w:val="333333"/>
          <w:kern w:val="0"/>
          <w:sz w:val="32"/>
          <w:szCs w:val="32"/>
          <w:lang w:val="en-US" w:eastAsia="zh-CN"/>
        </w:rPr>
        <w:t>。主要原因是从业人员</w:t>
      </w:r>
      <w:r>
        <w:rPr>
          <w:rFonts w:hint="eastAsia" w:ascii="Times New Roman" w:hAnsi="Times New Roman" w:eastAsia="仿宋" w:cs="Times New Roman"/>
          <w:color w:val="333333"/>
          <w:kern w:val="0"/>
          <w:sz w:val="32"/>
          <w:szCs w:val="32"/>
          <w:lang w:val="en-US" w:eastAsia="zh-CN"/>
        </w:rPr>
        <w:t>还需进一步提升</w:t>
      </w:r>
      <w:r>
        <w:rPr>
          <w:rFonts w:hint="default" w:ascii="Times New Roman" w:hAnsi="Times New Roman" w:eastAsia="仿宋" w:cs="Times New Roman"/>
          <w:color w:val="333333"/>
          <w:kern w:val="0"/>
          <w:sz w:val="32"/>
          <w:szCs w:val="32"/>
          <w:lang w:val="en-US" w:eastAsia="zh-CN"/>
        </w:rPr>
        <w:t>预算绩效专业知识</w:t>
      </w:r>
      <w:r>
        <w:rPr>
          <w:rFonts w:hint="eastAsia" w:ascii="Times New Roman" w:hAnsi="Times New Roman" w:eastAsia="仿宋" w:cs="Times New Roman"/>
          <w:color w:val="333333"/>
          <w:kern w:val="0"/>
          <w:sz w:val="32"/>
          <w:szCs w:val="32"/>
          <w:lang w:val="en-US" w:eastAsia="zh-CN"/>
        </w:rPr>
        <w:t>，不断增加工作经验</w:t>
      </w:r>
      <w:r>
        <w:rPr>
          <w:rFonts w:hint="default" w:ascii="Times New Roman" w:hAnsi="Times New Roman" w:eastAsia="仿宋" w:cs="Times New Roman"/>
          <w:color w:val="333333"/>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333333"/>
          <w:kern w:val="0"/>
          <w:sz w:val="32"/>
          <w:szCs w:val="32"/>
          <w:lang w:val="en-US" w:eastAsia="zh-CN"/>
        </w:rPr>
      </w:pPr>
      <w:r>
        <w:rPr>
          <w:rFonts w:hint="eastAsia" w:ascii="黑体" w:hAnsi="黑体" w:eastAsia="黑体" w:cs="黑体"/>
          <w:color w:val="333333"/>
          <w:kern w:val="0"/>
          <w:sz w:val="32"/>
          <w:szCs w:val="32"/>
          <w:lang w:val="en-US" w:eastAsia="zh-CN"/>
        </w:rPr>
        <w:t>五、有关建议</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 w:cs="Times New Roman"/>
          <w:color w:val="333333"/>
          <w:kern w:val="0"/>
          <w:sz w:val="32"/>
          <w:szCs w:val="32"/>
          <w:lang w:val="en-US" w:eastAsia="zh-CN" w:bidi="ar-SA"/>
        </w:rPr>
      </w:pPr>
      <w:r>
        <w:rPr>
          <w:rFonts w:hint="eastAsia" w:ascii="Times New Roman" w:hAnsi="Times New Roman" w:eastAsia="仿宋" w:cs="Times New Roman"/>
          <w:color w:val="333333"/>
          <w:kern w:val="0"/>
          <w:sz w:val="32"/>
          <w:szCs w:val="32"/>
          <w:lang w:val="en-US" w:eastAsia="zh-CN"/>
        </w:rPr>
        <w:t>加强对单位整体工作的统筹安排，</w:t>
      </w:r>
      <w:r>
        <w:rPr>
          <w:rFonts w:hint="eastAsia" w:ascii="Times New Roman" w:hAnsi="Times New Roman" w:eastAsia="仿宋" w:cs="Times New Roman"/>
          <w:color w:val="333333"/>
          <w:kern w:val="0"/>
          <w:sz w:val="32"/>
          <w:szCs w:val="32"/>
          <w:lang w:val="en-US" w:eastAsia="zh-CN" w:bidi="ar-SA"/>
        </w:rPr>
        <w:t>提高预算安排和绩效指标设置的科学性和精准性，定期对预算执行进度进行检查和分析，及时发现执行过程中出现的新问题并采取针对性措施加以解决。同时，严格按照相关要求使用经费，提高经费执行效率。</w:t>
      </w:r>
    </w:p>
    <w:p>
      <w:pPr>
        <w:spacing w:line="52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六、评价工作开展情况及其他需说明的情况</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 w:cs="Times New Roman"/>
          <w:color w:val="333333"/>
          <w:kern w:val="0"/>
          <w:sz w:val="32"/>
          <w:szCs w:val="32"/>
          <w:lang w:val="en-US" w:eastAsia="zh-CN" w:bidi="ar-SA"/>
        </w:rPr>
      </w:pPr>
      <w:r>
        <w:rPr>
          <w:rFonts w:hint="eastAsia" w:ascii="Times New Roman" w:hAnsi="Times New Roman" w:eastAsia="方正仿宋_GBK"/>
          <w:sz w:val="32"/>
          <w:szCs w:val="32"/>
        </w:rPr>
        <w:t>对财政资金开展绩效评价是一项长期的工作，我们将持续提高绩效评价管理水平，提高财政资金使用效益。</w:t>
      </w:r>
    </w:p>
    <w:p>
      <w:pPr>
        <w:keepNext w:val="0"/>
        <w:keepLines w:val="0"/>
        <w:pageBreakBefore w:val="0"/>
        <w:widowControl/>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仿宋" w:cs="Times New Roman"/>
          <w:color w:val="333333"/>
          <w:kern w:val="0"/>
          <w:sz w:val="32"/>
          <w:szCs w:val="32"/>
          <w:lang w:val="en-US" w:eastAsia="zh-CN"/>
        </w:rPr>
      </w:pPr>
      <w:r>
        <w:rPr>
          <w:rFonts w:hint="eastAsia" w:ascii="Times New Roman" w:hAnsi="Times New Roman" w:eastAsia="仿宋" w:cs="Times New Roman"/>
          <w:color w:val="333333"/>
          <w:kern w:val="0"/>
          <w:sz w:val="32"/>
          <w:szCs w:val="32"/>
          <w:lang w:val="en-US" w:eastAsia="zh-CN"/>
        </w:rPr>
        <w:t>附件：《单位整体绩效评价自评表》</w:t>
      </w:r>
    </w:p>
    <w:p>
      <w:pPr>
        <w:keepNext w:val="0"/>
        <w:keepLines w:val="0"/>
        <w:pageBreakBefore w:val="0"/>
        <w:widowControl/>
        <w:kinsoku/>
        <w:wordWrap/>
        <w:overflowPunct/>
        <w:topLinePunct w:val="0"/>
        <w:autoSpaceDE/>
        <w:autoSpaceDN/>
        <w:bidi w:val="0"/>
        <w:snapToGrid/>
        <w:spacing w:line="560" w:lineRule="exact"/>
        <w:ind w:firstLine="480"/>
        <w:textAlignment w:val="auto"/>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 xml:space="preserve">                             </w:t>
      </w:r>
    </w:p>
    <w:p>
      <w:pPr>
        <w:widowControl/>
        <w:spacing w:line="300" w:lineRule="auto"/>
        <w:ind w:firstLine="480"/>
        <w:rPr>
          <w:rFonts w:ascii="Times New Roman" w:hAnsi="Times New Roman" w:eastAsia="方正仿宋_GBK" w:cs="Times New Roman"/>
          <w:color w:val="333333"/>
          <w:kern w:val="0"/>
          <w:sz w:val="32"/>
          <w:szCs w:val="32"/>
        </w:rPr>
      </w:pPr>
      <w:r>
        <w:rPr>
          <w:rFonts w:ascii="Times New Roman" w:hAnsi="Times New Roman" w:eastAsia="方正仿宋_GBK" w:cs="Times New Roman"/>
          <w:color w:val="333333"/>
          <w:kern w:val="0"/>
          <w:sz w:val="32"/>
          <w:szCs w:val="32"/>
        </w:rPr>
        <w:t xml:space="preserve">              </w:t>
      </w:r>
    </w:p>
    <w:p>
      <w:pPr>
        <w:spacing w:line="300" w:lineRule="auto"/>
        <w:rPr>
          <w:rFonts w:ascii="Times New Roman" w:hAnsi="Times New Roman" w:eastAsia="方正仿宋_GBK" w:cs="Times New Roman"/>
          <w:sz w:val="32"/>
          <w:szCs w:val="32"/>
        </w:rPr>
        <w:sectPr>
          <w:footerReference r:id="rId3" w:type="default"/>
          <w:pgSz w:w="11906" w:h="16838"/>
          <w:pgMar w:top="2098" w:right="1588" w:bottom="1701" w:left="1588" w:header="851" w:footer="992" w:gutter="0"/>
          <w:cols w:space="425" w:num="1"/>
          <w:docGrid w:type="lines" w:linePitch="312" w:charSpace="0"/>
        </w:sectPr>
      </w:pPr>
    </w:p>
    <w:p>
      <w:pP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附件：《单位整体绩效评价自评表》</w:t>
      </w:r>
    </w:p>
    <w:tbl>
      <w:tblPr>
        <w:tblStyle w:val="11"/>
        <w:tblW w:w="14371" w:type="dxa"/>
        <w:tblInd w:w="-371" w:type="dxa"/>
        <w:tblLayout w:type="fixed"/>
        <w:tblCellMar>
          <w:top w:w="0" w:type="dxa"/>
          <w:left w:w="108" w:type="dxa"/>
          <w:bottom w:w="0" w:type="dxa"/>
          <w:right w:w="108" w:type="dxa"/>
        </w:tblCellMar>
      </w:tblPr>
      <w:tblGrid>
        <w:gridCol w:w="1266"/>
        <w:gridCol w:w="1623"/>
        <w:gridCol w:w="3402"/>
        <w:gridCol w:w="3686"/>
        <w:gridCol w:w="2551"/>
        <w:gridCol w:w="851"/>
        <w:gridCol w:w="992"/>
      </w:tblGrid>
      <w:tr>
        <w:tblPrEx>
          <w:tblLayout w:type="fixed"/>
          <w:tblCellMar>
            <w:top w:w="0" w:type="dxa"/>
            <w:left w:w="108" w:type="dxa"/>
            <w:bottom w:w="0" w:type="dxa"/>
            <w:right w:w="108" w:type="dxa"/>
          </w:tblCellMar>
        </w:tblPrEx>
        <w:trPr>
          <w:trHeight w:val="600" w:hRule="atLeast"/>
          <w:tblHeader/>
        </w:trPr>
        <w:tc>
          <w:tcPr>
            <w:tcW w:w="126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一级指标</w:t>
            </w: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二级指标</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三级指标（参考）</w:t>
            </w:r>
          </w:p>
        </w:tc>
        <w:tc>
          <w:tcPr>
            <w:tcW w:w="3686"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指标说明</w:t>
            </w:r>
          </w:p>
        </w:tc>
        <w:tc>
          <w:tcPr>
            <w:tcW w:w="2551" w:type="dxa"/>
            <w:tcBorders>
              <w:top w:val="single" w:color="auto" w:sz="8" w:space="0"/>
              <w:left w:val="nil"/>
              <w:bottom w:val="single" w:color="auto" w:sz="8" w:space="0"/>
              <w:right w:val="single" w:color="auto" w:sz="8" w:space="0"/>
            </w:tcBorders>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评价要点</w:t>
            </w:r>
          </w:p>
        </w:tc>
        <w:tc>
          <w:tcPr>
            <w:tcW w:w="85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分数权重</w:t>
            </w:r>
          </w:p>
        </w:tc>
        <w:tc>
          <w:tcPr>
            <w:tcW w:w="99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ascii="仿宋" w:hAnsi="仿宋" w:cs="宋体"/>
                <w:b/>
                <w:bCs/>
                <w:color w:val="000000"/>
                <w:kern w:val="0"/>
                <w:sz w:val="24"/>
                <w:szCs w:val="24"/>
              </w:rPr>
            </w:pPr>
            <w:r>
              <w:rPr>
                <w:rFonts w:hint="eastAsia" w:ascii="仿宋" w:hAnsi="仿宋" w:cs="宋体"/>
                <w:b/>
                <w:bCs/>
                <w:color w:val="000000"/>
                <w:kern w:val="0"/>
                <w:sz w:val="24"/>
                <w:szCs w:val="24"/>
              </w:rPr>
              <w:t>自评得分情况</w:t>
            </w:r>
          </w:p>
        </w:tc>
      </w:tr>
      <w:tr>
        <w:tblPrEx>
          <w:tblLayout w:type="fixed"/>
          <w:tblCellMar>
            <w:top w:w="0" w:type="dxa"/>
            <w:left w:w="108" w:type="dxa"/>
            <w:bottom w:w="0" w:type="dxa"/>
            <w:right w:w="108" w:type="dxa"/>
          </w:tblCellMar>
        </w:tblPrEx>
        <w:trPr>
          <w:trHeight w:val="511" w:hRule="atLeast"/>
        </w:trPr>
        <w:tc>
          <w:tcPr>
            <w:tcW w:w="1266"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A部门决策（15分）</w:t>
            </w:r>
          </w:p>
        </w:tc>
        <w:tc>
          <w:tcPr>
            <w:tcW w:w="1623"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A1决策机制</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A11决策制度的规范性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b/>
                <w:bCs/>
                <w:color w:val="000000"/>
                <w:kern w:val="0"/>
                <w:sz w:val="24"/>
                <w:szCs w:val="24"/>
              </w:rPr>
            </w:pPr>
            <w:r>
              <w:rPr>
                <w:rFonts w:hint="eastAsia" w:ascii="宋体" w:hAnsi="宋体" w:eastAsia="宋体" w:cs="宋体"/>
                <w:i w:val="0"/>
                <w:iCs w:val="0"/>
                <w:caps w:val="0"/>
                <w:color w:val="111111"/>
                <w:spacing w:val="0"/>
                <w:sz w:val="21"/>
                <w:szCs w:val="21"/>
                <w:shd w:val="clear" w:fill="FFFFFF"/>
              </w:rPr>
              <w:t>决策流程设计是否依据充分，是否规范。</w:t>
            </w:r>
          </w:p>
        </w:tc>
        <w:tc>
          <w:tcPr>
            <w:tcW w:w="2551" w:type="dxa"/>
            <w:tcBorders>
              <w:top w:val="single" w:color="auto" w:sz="8" w:space="0"/>
              <w:left w:val="nil"/>
              <w:bottom w:val="single" w:color="auto" w:sz="8" w:space="0"/>
              <w:right w:val="single" w:color="auto" w:sz="8" w:space="0"/>
            </w:tcBorders>
          </w:tcPr>
          <w:p>
            <w:pPr>
              <w:widowControl/>
              <w:jc w:val="center"/>
              <w:rPr>
                <w:rFonts w:ascii="仿宋" w:hAnsi="仿宋" w:cs="宋体"/>
                <w:b/>
                <w:bCs/>
                <w:color w:val="000000"/>
                <w:kern w:val="0"/>
                <w:sz w:val="24"/>
                <w:szCs w:val="24"/>
              </w:rPr>
            </w:pPr>
          </w:p>
        </w:tc>
        <w:tc>
          <w:tcPr>
            <w:tcW w:w="851" w:type="dxa"/>
            <w:vMerge w:val="restart"/>
            <w:tcBorders>
              <w:top w:val="single" w:color="auto" w:sz="8" w:space="0"/>
              <w:left w:val="single" w:color="auto" w:sz="8" w:space="0"/>
              <w:right w:val="single" w:color="auto" w:sz="8" w:space="0"/>
            </w:tcBorders>
            <w:vAlign w:val="center"/>
          </w:tcPr>
          <w:p>
            <w:pPr>
              <w:widowControl/>
              <w:jc w:val="center"/>
              <w:rPr>
                <w:rFonts w:hint="default" w:ascii="Times New Roman" w:hAnsi="Times New Roman" w:cs="Times New Roman"/>
                <w:b w:val="0"/>
                <w:bCs w:val="0"/>
                <w:color w:val="000000"/>
                <w:kern w:val="0"/>
                <w:sz w:val="24"/>
                <w:szCs w:val="24"/>
              </w:rPr>
            </w:pPr>
            <w:r>
              <w:rPr>
                <w:rFonts w:hint="default" w:ascii="Times New Roman" w:hAnsi="Times New Roman" w:cs="Times New Roman"/>
                <w:b w:val="0"/>
                <w:bCs w:val="0"/>
                <w:color w:val="000000"/>
                <w:kern w:val="0"/>
                <w:sz w:val="24"/>
                <w:szCs w:val="24"/>
              </w:rPr>
              <w:t>15分</w:t>
            </w:r>
          </w:p>
        </w:tc>
        <w:tc>
          <w:tcPr>
            <w:tcW w:w="992" w:type="dxa"/>
            <w:vMerge w:val="restart"/>
            <w:tcBorders>
              <w:top w:val="nil"/>
              <w:left w:val="single" w:color="auto" w:sz="8" w:space="0"/>
              <w:right w:val="single" w:color="auto" w:sz="8" w:space="0"/>
            </w:tcBorders>
            <w:shd w:val="clear" w:color="auto" w:fill="auto"/>
            <w:vAlign w:val="center"/>
          </w:tcPr>
          <w:p>
            <w:pPr>
              <w:widowControl/>
              <w:jc w:val="center"/>
              <w:rPr>
                <w:rFonts w:hint="default" w:ascii="Times New Roman" w:hAnsi="Times New Roman" w:cs="Times New Roman"/>
                <w:b w:val="0"/>
                <w:bCs w:val="0"/>
                <w:color w:val="000000"/>
                <w:kern w:val="0"/>
                <w:sz w:val="24"/>
                <w:szCs w:val="24"/>
              </w:rPr>
            </w:pPr>
            <w:r>
              <w:rPr>
                <w:rFonts w:hint="default" w:ascii="Times New Roman" w:hAnsi="Times New Roman" w:cs="Times New Roman"/>
                <w:b w:val="0"/>
                <w:bCs w:val="0"/>
                <w:color w:val="000000"/>
                <w:kern w:val="0"/>
                <w:sz w:val="24"/>
                <w:szCs w:val="24"/>
                <w:lang w:val="en-US" w:eastAsia="zh-CN"/>
              </w:rPr>
              <w:t>15</w:t>
            </w:r>
            <w:r>
              <w:rPr>
                <w:rFonts w:hint="default" w:ascii="Times New Roman" w:hAnsi="Times New Roman" w:cs="Times New Roman"/>
                <w:b w:val="0"/>
                <w:bCs w:val="0"/>
                <w:color w:val="000000"/>
                <w:kern w:val="0"/>
                <w:sz w:val="24"/>
                <w:szCs w:val="24"/>
              </w:rPr>
              <w:t>分</w:t>
            </w:r>
          </w:p>
        </w:tc>
      </w:tr>
      <w:tr>
        <w:tblPrEx>
          <w:tblLayout w:type="fixed"/>
          <w:tblCellMar>
            <w:top w:w="0" w:type="dxa"/>
            <w:left w:w="108" w:type="dxa"/>
            <w:bottom w:w="0" w:type="dxa"/>
            <w:right w:w="108" w:type="dxa"/>
          </w:tblCellMar>
        </w:tblPrEx>
        <w:trPr>
          <w:trHeight w:val="419"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A12决策流程的科学性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部门是否建立了决策制度，决策制度是否符合上级要求，是否科学可行。</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396"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A13决策执行监督制衡机制</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部门决策过程中，是否建立监督机制，监督机制是否有效执行。</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2"/>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2"/>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2"/>
              </w:rPr>
            </w:pPr>
          </w:p>
        </w:tc>
      </w:tr>
      <w:tr>
        <w:tblPrEx>
          <w:tblLayout w:type="fixed"/>
          <w:tblCellMar>
            <w:top w:w="0" w:type="dxa"/>
            <w:left w:w="108" w:type="dxa"/>
            <w:bottom w:w="0" w:type="dxa"/>
            <w:right w:w="108" w:type="dxa"/>
          </w:tblCellMar>
        </w:tblPrEx>
        <w:trPr>
          <w:trHeight w:val="402"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A2中长期规划</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A21中长期规划明确性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部门是否具有明确的中长期规划</w:t>
            </w: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8"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A22中长期规划与部门职能的匹配性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部门是否具有明确的中长期规划</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0"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A3年度工作计划</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A31年度工作计划明确性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部门是否具有明确的年度工作计划</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6"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A32年度工作计划与部门职能的匹配性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年度工作计划是否与部门职能相匹配</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979"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A4部门预算编制</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A41预算编制科学规范</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cs="宋体" w:eastAsiaTheme="minorEastAsia"/>
                <w:color w:val="000000"/>
                <w:kern w:val="0"/>
                <w:sz w:val="24"/>
                <w:szCs w:val="24"/>
                <w:lang w:eastAsia="zh-CN"/>
              </w:rPr>
            </w:pPr>
            <w:r>
              <w:rPr>
                <w:rFonts w:hint="eastAsia" w:ascii="仿宋" w:hAnsi="仿宋" w:cs="宋体"/>
                <w:color w:val="000000"/>
                <w:kern w:val="0"/>
                <w:sz w:val="24"/>
                <w:szCs w:val="24"/>
              </w:rPr>
              <w:t>预算编制指“内部预算编制”，“科学”衡量制度设计，“规范”衡量流程执行</w:t>
            </w:r>
            <w:r>
              <w:rPr>
                <w:rFonts w:hint="eastAsia" w:ascii="仿宋" w:hAnsi="仿宋" w:cs="宋体"/>
                <w:color w:val="000000"/>
                <w:kern w:val="0"/>
                <w:sz w:val="24"/>
                <w:szCs w:val="24"/>
                <w:lang w:eastAsia="zh-CN"/>
              </w:rPr>
              <w:t>。</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A42预算编制与重点工作任务的匹配性</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预算编制指“内部预算编制”</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bottom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97" w:hRule="atLeast"/>
        </w:trPr>
        <w:tc>
          <w:tcPr>
            <w:tcW w:w="1266"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center"/>
              <w:rPr>
                <w:rFonts w:ascii="仿宋" w:hAnsi="仿宋" w:cs="宋体"/>
                <w:color w:val="000000"/>
                <w:kern w:val="0"/>
                <w:sz w:val="24"/>
                <w:szCs w:val="24"/>
              </w:rPr>
            </w:pPr>
            <w:r>
              <w:rPr>
                <w:rFonts w:hint="eastAsia" w:ascii="仿宋" w:hAnsi="仿宋" w:cs="宋体"/>
                <w:color w:val="000000"/>
                <w:kern w:val="0"/>
                <w:sz w:val="24"/>
                <w:szCs w:val="24"/>
              </w:rPr>
              <w:t>B部门管理（20分）</w:t>
            </w: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B1预算执行</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B11部门预算执行率</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部门预算执行进度情况</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2"/>
              </w:rPr>
            </w:pPr>
          </w:p>
        </w:tc>
        <w:tc>
          <w:tcPr>
            <w:tcW w:w="851" w:type="dxa"/>
            <w:vMerge w:val="restart"/>
            <w:tcBorders>
              <w:top w:val="single" w:color="auto" w:sz="8" w:space="0"/>
              <w:left w:val="single" w:color="auto" w:sz="8" w:space="0"/>
              <w:right w:val="single" w:color="auto" w:sz="8" w:space="0"/>
            </w:tcBorders>
            <w:vAlign w:val="center"/>
          </w:tcPr>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p>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20分</w:t>
            </w:r>
          </w:p>
        </w:tc>
        <w:tc>
          <w:tcPr>
            <w:tcW w:w="992" w:type="dxa"/>
            <w:vMerge w:val="restart"/>
            <w:tcBorders>
              <w:top w:val="nil"/>
              <w:left w:val="single" w:color="auto" w:sz="8" w:space="0"/>
              <w:right w:val="single" w:color="auto" w:sz="8" w:space="0"/>
            </w:tcBorders>
            <w:shd w:val="clear" w:color="auto" w:fill="auto"/>
            <w:vAlign w:val="center"/>
          </w:tcPr>
          <w:p>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p>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p>
            <w:pPr>
              <w:widowControl/>
              <w:jc w:val="left"/>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w:t>
            </w:r>
          </w:p>
          <w:p>
            <w:pPr>
              <w:widowControl/>
              <w:jc w:val="left"/>
              <w:rPr>
                <w:rFonts w:hint="default" w:ascii="Times New Roman" w:hAnsi="Times New Roman" w:cs="Times New Roman"/>
                <w:color w:val="000000"/>
                <w:kern w:val="0"/>
                <w:sz w:val="24"/>
                <w:szCs w:val="24"/>
              </w:rPr>
            </w:pPr>
          </w:p>
          <w:p>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4"/>
                <w:szCs w:val="24"/>
              </w:rPr>
              <w:t>　</w:t>
            </w:r>
            <w:r>
              <w:rPr>
                <w:rFonts w:hint="eastAsia" w:ascii="Times New Roman" w:hAnsi="Times New Roman" w:cs="Times New Roman"/>
                <w:color w:val="000000"/>
                <w:kern w:val="0"/>
                <w:sz w:val="22"/>
                <w:lang w:val="en-US" w:eastAsia="zh-CN"/>
              </w:rPr>
              <w:t>20</w:t>
            </w:r>
            <w:r>
              <w:rPr>
                <w:rFonts w:hint="default" w:ascii="Times New Roman" w:hAnsi="Times New Roman" w:cs="Times New Roman"/>
                <w:color w:val="000000"/>
                <w:kern w:val="0"/>
                <w:sz w:val="22"/>
              </w:rPr>
              <w:t>分</w:t>
            </w: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B12专项资金执行率</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专项资金执行进度情况</w:t>
            </w:r>
          </w:p>
        </w:tc>
        <w:tc>
          <w:tcPr>
            <w:tcW w:w="2551" w:type="dxa"/>
            <w:tcBorders>
              <w:top w:val="single" w:color="auto" w:sz="8" w:space="0"/>
              <w:left w:val="nil"/>
              <w:bottom w:val="single" w:color="auto" w:sz="8" w:space="0"/>
              <w:right w:val="single" w:color="auto" w:sz="8" w:space="0"/>
            </w:tcBorders>
          </w:tcPr>
          <w:p>
            <w:pPr>
              <w:ind w:firstLine="440"/>
              <w:jc w:val="left"/>
              <w:rPr>
                <w:rFonts w:ascii="仿宋" w:hAnsi="仿宋" w:cs="宋体"/>
                <w:color w:val="000000"/>
                <w:kern w:val="0"/>
                <w:sz w:val="22"/>
              </w:rPr>
            </w:pPr>
          </w:p>
        </w:tc>
        <w:tc>
          <w:tcPr>
            <w:tcW w:w="851" w:type="dxa"/>
            <w:vMerge w:val="continue"/>
            <w:tcBorders>
              <w:left w:val="single" w:color="auto" w:sz="8" w:space="0"/>
              <w:right w:val="single" w:color="auto" w:sz="8" w:space="0"/>
            </w:tcBorders>
          </w:tcPr>
          <w:p>
            <w:pPr>
              <w:ind w:firstLine="440"/>
              <w:jc w:val="left"/>
              <w:rPr>
                <w:rFonts w:ascii="仿宋" w:hAnsi="仿宋" w:cs="宋体"/>
                <w:color w:val="000000"/>
                <w:kern w:val="0"/>
                <w:sz w:val="22"/>
              </w:rPr>
            </w:pPr>
          </w:p>
        </w:tc>
        <w:tc>
          <w:tcPr>
            <w:tcW w:w="992" w:type="dxa"/>
            <w:vMerge w:val="continue"/>
            <w:tcBorders>
              <w:left w:val="single" w:color="auto" w:sz="8" w:space="0"/>
              <w:right w:val="single" w:color="auto" w:sz="8" w:space="0"/>
            </w:tcBorders>
            <w:shd w:val="clear" w:color="auto" w:fill="auto"/>
            <w:vAlign w:val="center"/>
          </w:tcPr>
          <w:p>
            <w:pPr>
              <w:ind w:firstLine="440"/>
              <w:jc w:val="left"/>
              <w:rPr>
                <w:rFonts w:ascii="仿宋" w:hAnsi="仿宋" w:cs="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B13“三公”经费控制率</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cs="宋体" w:eastAsiaTheme="minorEastAsia"/>
                <w:color w:val="000000"/>
                <w:kern w:val="0"/>
                <w:sz w:val="24"/>
                <w:szCs w:val="24"/>
                <w:lang w:eastAsia="zh-CN"/>
              </w:rPr>
            </w:pPr>
            <w:r>
              <w:rPr>
                <w:rFonts w:hint="eastAsia" w:ascii="仿宋" w:hAnsi="仿宋" w:cs="宋体"/>
                <w:color w:val="000000"/>
                <w:kern w:val="0"/>
                <w:sz w:val="24"/>
                <w:szCs w:val="24"/>
              </w:rPr>
              <w:t>“三公”经费使用超支扣分，若不超支则不扣分</w:t>
            </w:r>
            <w:r>
              <w:rPr>
                <w:rFonts w:hint="eastAsia" w:ascii="仿宋" w:hAnsi="仿宋" w:cs="宋体"/>
                <w:color w:val="000000"/>
                <w:kern w:val="0"/>
                <w:sz w:val="24"/>
                <w:szCs w:val="24"/>
                <w:lang w:eastAsia="zh-CN"/>
              </w:rPr>
              <w:t>。</w:t>
            </w:r>
          </w:p>
        </w:tc>
        <w:tc>
          <w:tcPr>
            <w:tcW w:w="2551" w:type="dxa"/>
            <w:tcBorders>
              <w:top w:val="single" w:color="auto" w:sz="8" w:space="0"/>
              <w:left w:val="nil"/>
              <w:bottom w:val="single" w:color="auto" w:sz="8" w:space="0"/>
              <w:right w:val="single" w:color="auto" w:sz="8" w:space="0"/>
            </w:tcBorders>
          </w:tcPr>
          <w:p>
            <w:pPr>
              <w:ind w:firstLine="440"/>
              <w:jc w:val="left"/>
              <w:rPr>
                <w:rFonts w:ascii="仿宋" w:hAnsi="仿宋" w:cs="宋体"/>
                <w:color w:val="000000"/>
                <w:kern w:val="0"/>
                <w:sz w:val="22"/>
              </w:rPr>
            </w:pPr>
          </w:p>
        </w:tc>
        <w:tc>
          <w:tcPr>
            <w:tcW w:w="851" w:type="dxa"/>
            <w:vMerge w:val="continue"/>
            <w:tcBorders>
              <w:left w:val="single" w:color="auto" w:sz="8" w:space="0"/>
              <w:right w:val="single" w:color="auto" w:sz="8" w:space="0"/>
            </w:tcBorders>
          </w:tcPr>
          <w:p>
            <w:pPr>
              <w:ind w:firstLine="440"/>
              <w:jc w:val="left"/>
              <w:rPr>
                <w:rFonts w:ascii="仿宋" w:hAnsi="仿宋" w:cs="宋体"/>
                <w:color w:val="000000"/>
                <w:kern w:val="0"/>
                <w:sz w:val="22"/>
              </w:rPr>
            </w:pPr>
          </w:p>
        </w:tc>
        <w:tc>
          <w:tcPr>
            <w:tcW w:w="992" w:type="dxa"/>
            <w:vMerge w:val="continue"/>
            <w:tcBorders>
              <w:left w:val="single" w:color="auto" w:sz="8" w:space="0"/>
              <w:right w:val="single" w:color="auto" w:sz="8" w:space="0"/>
            </w:tcBorders>
            <w:shd w:val="clear" w:color="auto" w:fill="auto"/>
            <w:vAlign w:val="center"/>
          </w:tcPr>
          <w:p>
            <w:pPr>
              <w:ind w:firstLine="440"/>
              <w:jc w:val="left"/>
              <w:rPr>
                <w:rFonts w:ascii="仿宋" w:hAnsi="仿宋" w:cs="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 xml:space="preserve">B14预决算信息公开情况 </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 w:hAnsi="仿宋" w:cs="宋体" w:eastAsiaTheme="minorEastAsia"/>
                <w:color w:val="000000"/>
                <w:kern w:val="0"/>
                <w:sz w:val="22"/>
                <w:szCs w:val="22"/>
                <w:lang w:eastAsia="zh-CN"/>
              </w:rPr>
            </w:pPr>
            <w:r>
              <w:rPr>
                <w:rFonts w:hint="eastAsia" w:ascii="仿宋" w:hAnsi="仿宋" w:cs="宋体"/>
                <w:color w:val="000000"/>
                <w:kern w:val="0"/>
                <w:sz w:val="22"/>
                <w:szCs w:val="22"/>
              </w:rPr>
              <w:t>预决算是否在“双平台”进行公开，内容和时限是否符合要求</w:t>
            </w:r>
            <w:r>
              <w:rPr>
                <w:rFonts w:hint="eastAsia" w:ascii="仿宋" w:hAnsi="仿宋" w:cs="宋体"/>
                <w:color w:val="000000"/>
                <w:kern w:val="0"/>
                <w:sz w:val="22"/>
                <w:szCs w:val="22"/>
                <w:lang w:eastAsia="zh-CN"/>
              </w:rPr>
              <w:t>。</w:t>
            </w:r>
          </w:p>
        </w:tc>
        <w:tc>
          <w:tcPr>
            <w:tcW w:w="2551" w:type="dxa"/>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1"/>
                <w:szCs w:val="21"/>
              </w:rPr>
            </w:pPr>
            <w:r>
              <w:rPr>
                <w:rFonts w:hint="eastAsia" w:ascii="仿宋" w:hAnsi="仿宋" w:cs="宋体"/>
                <w:color w:val="000000"/>
                <w:kern w:val="0"/>
                <w:sz w:val="22"/>
                <w:szCs w:val="22"/>
              </w:rPr>
              <w:t>提供截图或者照片进行佐证</w:t>
            </w:r>
          </w:p>
        </w:tc>
        <w:tc>
          <w:tcPr>
            <w:tcW w:w="851" w:type="dxa"/>
            <w:vMerge w:val="continue"/>
            <w:tcBorders>
              <w:left w:val="single" w:color="auto" w:sz="8" w:space="0"/>
              <w:right w:val="single" w:color="auto" w:sz="8" w:space="0"/>
            </w:tcBorders>
          </w:tcPr>
          <w:p>
            <w:pPr>
              <w:ind w:firstLine="440"/>
              <w:jc w:val="left"/>
              <w:rPr>
                <w:rFonts w:ascii="仿宋" w:hAnsi="仿宋" w:cs="宋体"/>
                <w:color w:val="000000"/>
                <w:kern w:val="0"/>
                <w:sz w:val="22"/>
              </w:rPr>
            </w:pPr>
          </w:p>
        </w:tc>
        <w:tc>
          <w:tcPr>
            <w:tcW w:w="992" w:type="dxa"/>
            <w:vMerge w:val="continue"/>
            <w:tcBorders>
              <w:left w:val="single" w:color="auto" w:sz="8" w:space="0"/>
              <w:right w:val="single" w:color="auto" w:sz="8" w:space="0"/>
            </w:tcBorders>
            <w:shd w:val="clear" w:color="auto" w:fill="auto"/>
            <w:vAlign w:val="center"/>
          </w:tcPr>
          <w:p>
            <w:pPr>
              <w:ind w:firstLine="440"/>
              <w:jc w:val="left"/>
              <w:rPr>
                <w:rFonts w:ascii="仿宋" w:hAnsi="仿宋" w:cs="宋体"/>
                <w:color w:val="000000"/>
                <w:kern w:val="0"/>
                <w:sz w:val="22"/>
              </w:rPr>
            </w:pPr>
          </w:p>
        </w:tc>
      </w:tr>
      <w:tr>
        <w:tblPrEx>
          <w:tblLayout w:type="fixed"/>
          <w:tblCellMar>
            <w:top w:w="0" w:type="dxa"/>
            <w:left w:w="108" w:type="dxa"/>
            <w:bottom w:w="0" w:type="dxa"/>
            <w:right w:w="108" w:type="dxa"/>
          </w:tblCellMar>
        </w:tblPrEx>
        <w:trPr>
          <w:trHeight w:val="445"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B2收支管理</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B21收支管理制度健全性</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收支管理相关制度的建设情况</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8"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B22收支管理是否按制度执行</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是否严格按照制度执行收支管理各项工作</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B3资产管理</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B31资产管理制度健全性</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部门资产管理制度建设情况</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6"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B32资产管理是否按制度执行</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资产管理制度执行情况</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12"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000000"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B4政府采购管理</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B41政府采购管理制度健全性</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政府采购制度建设情况</w:t>
            </w: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04"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B42政府采购管理是否按制度执行</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部门政府采购制度执行情况</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1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B52建设项目管理是否按制度执行</w:t>
            </w:r>
          </w:p>
        </w:tc>
        <w:tc>
          <w:tcPr>
            <w:tcW w:w="3686" w:type="dxa"/>
            <w:tcBorders>
              <w:top w:val="nil"/>
              <w:left w:val="single" w:color="auto" w:sz="8" w:space="0"/>
              <w:bottom w:val="single" w:color="000000" w:sz="8" w:space="0"/>
              <w:right w:val="single" w:color="auto" w:sz="8" w:space="0"/>
            </w:tcBorders>
            <w:vAlign w:val="center"/>
          </w:tcPr>
          <w:p>
            <w:pPr>
              <w:widowControl/>
              <w:jc w:val="left"/>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建设项目管理制度是否建立，是否齐全，是否科学。</w:t>
            </w:r>
          </w:p>
        </w:tc>
        <w:tc>
          <w:tcPr>
            <w:tcW w:w="2551" w:type="dxa"/>
            <w:tcBorders>
              <w:top w:val="single" w:color="auto" w:sz="8" w:space="0"/>
              <w:left w:val="nil"/>
              <w:bottom w:val="single" w:color="auto" w:sz="8" w:space="0"/>
              <w:right w:val="single" w:color="auto" w:sz="8" w:space="0"/>
            </w:tcBorders>
          </w:tcPr>
          <w:p>
            <w:pPr>
              <w:ind w:firstLine="480"/>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B5内部控制管理</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B61内部控制建设情况</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建设项目管理是否严格按照制度执行</w:t>
            </w:r>
          </w:p>
        </w:tc>
        <w:tc>
          <w:tcPr>
            <w:tcW w:w="2551" w:type="dxa"/>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B62内部控制执行情况</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部门内部控制机制执行情况</w:t>
            </w:r>
          </w:p>
        </w:tc>
        <w:tc>
          <w:tcPr>
            <w:tcW w:w="2551" w:type="dxa"/>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B63内部控制监督评价</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宋体" w:hAnsi="宋体" w:eastAsia="宋体" w:cs="宋体"/>
                <w:i w:val="0"/>
                <w:iCs w:val="0"/>
                <w:caps w:val="0"/>
                <w:color w:val="111111"/>
                <w:spacing w:val="0"/>
                <w:sz w:val="21"/>
                <w:szCs w:val="21"/>
                <w:shd w:val="clear" w:fill="FFFFFF"/>
              </w:rPr>
              <w:t>部门内控监督评价情况</w:t>
            </w:r>
          </w:p>
        </w:tc>
        <w:tc>
          <w:tcPr>
            <w:tcW w:w="2551" w:type="dxa"/>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restar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B6预算绩效管理</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B71组织管理情况</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i w:val="0"/>
                <w:iCs w:val="0"/>
                <w:caps w:val="0"/>
                <w:color w:val="111111"/>
                <w:spacing w:val="0"/>
                <w:sz w:val="21"/>
                <w:szCs w:val="21"/>
                <w:shd w:val="clear" w:fill="FFFFFF"/>
                <w:lang w:eastAsia="zh-CN"/>
              </w:rPr>
            </w:pPr>
            <w:r>
              <w:rPr>
                <w:rFonts w:hint="eastAsia" w:ascii="宋体" w:hAnsi="宋体" w:eastAsia="宋体" w:cs="宋体"/>
                <w:i w:val="0"/>
                <w:iCs w:val="0"/>
                <w:caps w:val="0"/>
                <w:color w:val="111111"/>
                <w:spacing w:val="0"/>
                <w:sz w:val="21"/>
                <w:szCs w:val="21"/>
                <w:shd w:val="clear" w:fill="FFFFFF"/>
              </w:rPr>
              <w:t>主要包含制度建设、职能配置、分行业的指标体系</w:t>
            </w:r>
            <w:r>
              <w:rPr>
                <w:rFonts w:hint="eastAsia" w:ascii="宋体" w:hAnsi="宋体" w:eastAsia="宋体" w:cs="宋体"/>
                <w:i w:val="0"/>
                <w:iCs w:val="0"/>
                <w:caps w:val="0"/>
                <w:color w:val="111111"/>
                <w:spacing w:val="0"/>
                <w:sz w:val="21"/>
                <w:szCs w:val="21"/>
                <w:shd w:val="clear" w:fill="FFFFFF"/>
                <w:lang w:eastAsia="zh-CN"/>
              </w:rPr>
              <w:t>。</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ind w:firstLine="480"/>
              <w:jc w:val="left"/>
              <w:textAlignment w:val="auto"/>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B72工作开展情况</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i w:val="0"/>
                <w:iCs w:val="0"/>
                <w:caps w:val="0"/>
                <w:color w:val="111111"/>
                <w:spacing w:val="0"/>
                <w:sz w:val="21"/>
                <w:szCs w:val="21"/>
                <w:shd w:val="clear" w:fill="FFFFFF"/>
                <w:lang w:eastAsia="zh-CN"/>
              </w:rPr>
            </w:pPr>
            <w:r>
              <w:rPr>
                <w:rFonts w:hint="eastAsia" w:ascii="宋体" w:hAnsi="宋体" w:eastAsia="宋体" w:cs="宋体"/>
                <w:i w:val="0"/>
                <w:iCs w:val="0"/>
                <w:caps w:val="0"/>
                <w:color w:val="111111"/>
                <w:spacing w:val="0"/>
                <w:sz w:val="21"/>
                <w:szCs w:val="21"/>
                <w:shd w:val="clear" w:fill="FFFFFF"/>
              </w:rPr>
              <w:t>包含事前评估、目标管理、跟踪评价、自评价和整改落实</w:t>
            </w:r>
            <w:r>
              <w:rPr>
                <w:rFonts w:hint="eastAsia" w:ascii="宋体" w:hAnsi="宋体" w:eastAsia="宋体" w:cs="宋体"/>
                <w:i w:val="0"/>
                <w:iCs w:val="0"/>
                <w:caps w:val="0"/>
                <w:color w:val="111111"/>
                <w:spacing w:val="0"/>
                <w:sz w:val="21"/>
                <w:szCs w:val="21"/>
                <w:shd w:val="clear" w:fill="FFFFFF"/>
                <w:lang w:eastAsia="zh-CN"/>
              </w:rPr>
              <w:t>。</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B73绩效信息公开</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i w:val="0"/>
                <w:iCs w:val="0"/>
                <w:caps w:val="0"/>
                <w:color w:val="111111"/>
                <w:spacing w:val="0"/>
                <w:sz w:val="21"/>
                <w:szCs w:val="21"/>
                <w:shd w:val="clear" w:fill="FFFFFF"/>
                <w:lang w:eastAsia="zh-CN"/>
              </w:rPr>
            </w:pPr>
            <w:r>
              <w:rPr>
                <w:rFonts w:hint="eastAsia" w:ascii="宋体" w:hAnsi="宋体" w:eastAsia="宋体" w:cs="宋体"/>
                <w:i w:val="0"/>
                <w:iCs w:val="0"/>
                <w:caps w:val="0"/>
                <w:color w:val="111111"/>
                <w:spacing w:val="0"/>
                <w:sz w:val="21"/>
                <w:szCs w:val="21"/>
                <w:shd w:val="clear" w:fill="FFFFFF"/>
              </w:rPr>
              <w:t>绩效信息是否按照规定的内容和时限在“双平台”进行公开</w:t>
            </w:r>
            <w:r>
              <w:rPr>
                <w:rFonts w:hint="eastAsia" w:ascii="宋体" w:hAnsi="宋体" w:eastAsia="宋体" w:cs="宋体"/>
                <w:i w:val="0"/>
                <w:iCs w:val="0"/>
                <w:caps w:val="0"/>
                <w:color w:val="111111"/>
                <w:spacing w:val="0"/>
                <w:sz w:val="21"/>
                <w:szCs w:val="21"/>
                <w:shd w:val="clear" w:fill="FFFFFF"/>
                <w:lang w:eastAsia="zh-CN"/>
              </w:rPr>
              <w:t>。</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bottom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restart"/>
            <w:tcBorders>
              <w:top w:val="nil"/>
              <w:left w:val="single" w:color="auto" w:sz="8" w:space="0"/>
              <w:right w:val="single" w:color="auto" w:sz="8" w:space="0"/>
            </w:tcBorders>
            <w:shd w:val="clear" w:color="auto" w:fill="auto"/>
            <w:vAlign w:val="center"/>
          </w:tcPr>
          <w:p>
            <w:pPr>
              <w:widowControl/>
              <w:jc w:val="center"/>
              <w:rPr>
                <w:rFonts w:ascii="仿宋" w:hAnsi="仿宋" w:cs="宋体"/>
                <w:color w:val="000000"/>
                <w:kern w:val="0"/>
                <w:sz w:val="24"/>
                <w:szCs w:val="24"/>
              </w:rPr>
            </w:pPr>
            <w:r>
              <w:rPr>
                <w:rFonts w:hint="eastAsia" w:ascii="仿宋" w:hAnsi="仿宋" w:cs="宋体"/>
                <w:color w:val="000000"/>
                <w:kern w:val="0"/>
                <w:sz w:val="24"/>
                <w:szCs w:val="24"/>
              </w:rPr>
              <w:t>C部门履职（30分）</w:t>
            </w: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C1重点工作数量完成率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hint="default" w:ascii="仿宋" w:hAnsi="仿宋" w:eastAsia="宋体" w:cs="宋体"/>
                <w:color w:val="000000"/>
                <w:kern w:val="0"/>
                <w:sz w:val="24"/>
                <w:szCs w:val="24"/>
                <w:lang w:val="en-US" w:eastAsia="zh-CN"/>
              </w:rPr>
            </w:pPr>
            <w:r>
              <w:rPr>
                <w:rFonts w:hint="eastAsia" w:ascii="宋体" w:hAnsi="宋体" w:eastAsia="宋体" w:cs="宋体"/>
                <w:color w:val="000000"/>
                <w:sz w:val="24"/>
                <w:szCs w:val="24"/>
                <w:lang w:val="en-US" w:eastAsia="zh-CN"/>
              </w:rPr>
              <w:t>积极协助配合外办做好对外交往工作</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hint="default" w:ascii="仿宋" w:hAnsi="仿宋" w:cs="宋体" w:eastAsiaTheme="minorEastAsia"/>
                <w:color w:val="000000"/>
                <w:kern w:val="0"/>
                <w:sz w:val="24"/>
                <w:szCs w:val="24"/>
                <w:lang w:val="en-US" w:eastAsia="zh-CN"/>
              </w:rPr>
            </w:pPr>
            <w:r>
              <w:rPr>
                <w:rFonts w:hint="eastAsia" w:ascii="仿宋" w:hAnsi="仿宋" w:cs="宋体"/>
                <w:color w:val="000000"/>
                <w:kern w:val="0"/>
                <w:sz w:val="24"/>
                <w:szCs w:val="24"/>
              </w:rPr>
              <w:t>　</w:t>
            </w:r>
            <w:r>
              <w:rPr>
                <w:rFonts w:hint="eastAsia" w:ascii="仿宋" w:hAnsi="仿宋" w:cs="宋体"/>
                <w:color w:val="000000"/>
                <w:kern w:val="0"/>
                <w:sz w:val="24"/>
                <w:szCs w:val="24"/>
                <w:lang w:val="en-US" w:eastAsia="zh-CN"/>
              </w:rPr>
              <w:t>做好金洽会、智能制造大会等重大外事活动的翻译和礼宾保障；贯彻落实《关于高质量推进新时代国际友城工作的意见》，按照友城工作办法，积极参与友城交往工作，深化与国外友城的交往，服务南京对外交往工作走深走实。</w:t>
            </w:r>
          </w:p>
        </w:tc>
        <w:tc>
          <w:tcPr>
            <w:tcW w:w="2551" w:type="dxa"/>
            <w:tcBorders>
              <w:top w:val="single" w:color="auto" w:sz="8" w:space="0"/>
              <w:left w:val="nil"/>
              <w:bottom w:val="single" w:color="auto" w:sz="8" w:space="0"/>
              <w:right w:val="single" w:color="auto" w:sz="8" w:space="0"/>
            </w:tcBorders>
          </w:tcPr>
          <w:p>
            <w:pPr>
              <w:jc w:val="left"/>
              <w:rPr>
                <w:rFonts w:hint="default" w:ascii="仿宋" w:hAnsi="仿宋" w:cs="宋体" w:eastAsiaTheme="minorEastAsia"/>
                <w:color w:val="000000"/>
                <w:kern w:val="0"/>
                <w:sz w:val="24"/>
                <w:szCs w:val="24"/>
                <w:lang w:val="en-US" w:eastAsia="zh-CN"/>
              </w:rPr>
            </w:pPr>
            <w:r>
              <w:rPr>
                <w:rFonts w:hint="eastAsia" w:ascii="仿宋" w:hAnsi="仿宋" w:cs="宋体"/>
                <w:color w:val="000000"/>
                <w:kern w:val="0"/>
                <w:sz w:val="24"/>
                <w:szCs w:val="24"/>
                <w:lang w:val="en-US" w:eastAsia="zh-CN"/>
              </w:rPr>
              <w:t>对外交往工作完成率</w:t>
            </w:r>
          </w:p>
        </w:tc>
        <w:tc>
          <w:tcPr>
            <w:tcW w:w="851" w:type="dxa"/>
            <w:vMerge w:val="restart"/>
            <w:tcBorders>
              <w:top w:val="single" w:color="auto" w:sz="8" w:space="0"/>
              <w:left w:val="single" w:color="auto" w:sz="8" w:space="0"/>
              <w:right w:val="single" w:color="auto" w:sz="8" w:space="0"/>
            </w:tcBorders>
            <w:vAlign w:val="center"/>
          </w:tcPr>
          <w:p>
            <w:pP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30分</w:t>
            </w:r>
          </w:p>
        </w:tc>
        <w:tc>
          <w:tcPr>
            <w:tcW w:w="992" w:type="dxa"/>
            <w:vMerge w:val="restart"/>
            <w:tcBorders>
              <w:top w:val="nil"/>
              <w:left w:val="single" w:color="auto" w:sz="8" w:space="0"/>
              <w:right w:val="single" w:color="auto" w:sz="8" w:space="0"/>
            </w:tcBorders>
            <w:shd w:val="clear" w:color="auto" w:fill="auto"/>
            <w:vAlign w:val="center"/>
          </w:tcPr>
          <w:p>
            <w:pPr>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lang w:val="en-US" w:eastAsia="zh-CN"/>
              </w:rPr>
              <w:t>30</w:t>
            </w:r>
            <w:r>
              <w:rPr>
                <w:rFonts w:hint="default" w:ascii="Times New Roman" w:hAnsi="Times New Roman" w:cs="Times New Roman"/>
                <w:color w:val="000000"/>
                <w:kern w:val="0"/>
                <w:sz w:val="24"/>
                <w:szCs w:val="24"/>
              </w:rPr>
              <w:t>分</w:t>
            </w: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C2重点工作质量达标率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ind w:firstLine="480"/>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ind w:firstLine="480"/>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C3重点工作完成及时率</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是否按期完成</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C1重点工作数量完成率</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hint="default" w:ascii="仿宋" w:hAnsi="仿宋" w:cs="宋体" w:eastAsiaTheme="minorEastAsia"/>
                <w:color w:val="000000"/>
                <w:kern w:val="0"/>
                <w:sz w:val="24"/>
                <w:szCs w:val="24"/>
                <w:lang w:val="en-US" w:eastAsia="zh-CN"/>
              </w:rPr>
            </w:pPr>
            <w:r>
              <w:rPr>
                <w:rFonts w:hint="eastAsia" w:ascii="仿宋" w:hAnsi="仿宋" w:cs="宋体"/>
                <w:color w:val="000000"/>
                <w:kern w:val="0"/>
                <w:sz w:val="24"/>
                <w:szCs w:val="24"/>
                <w:lang w:val="en-US" w:eastAsia="zh-CN"/>
              </w:rPr>
              <w:t>主动作为提升国际话语传播能力</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依托公共政策翻译专家库，提升我办国际话语传播质量和能力，讲好南京故事，让世界更好认识新时代的中国、了解南京；积极推广“南京关键词”项目，以国际化语言和叙事方式讲好中国故事。</w:t>
            </w: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国际传播能力提升工作完成率</w:t>
            </w: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C2重点工作质量达标率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C3重点工作完成及时率</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是否按期完成</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C1重点工作数量完成率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hint="default" w:ascii="仿宋" w:hAnsi="仿宋" w:cs="宋体" w:eastAsiaTheme="minorEastAsia"/>
                <w:color w:val="000000"/>
                <w:kern w:val="0"/>
                <w:sz w:val="24"/>
                <w:szCs w:val="24"/>
                <w:lang w:val="en-US" w:eastAsia="zh-CN"/>
              </w:rPr>
            </w:pPr>
            <w:r>
              <w:rPr>
                <w:rFonts w:hint="eastAsia" w:ascii="仿宋" w:hAnsi="仿宋" w:cs="宋体"/>
                <w:color w:val="000000"/>
                <w:kern w:val="0"/>
                <w:sz w:val="24"/>
                <w:szCs w:val="24"/>
                <w:lang w:val="en-US" w:eastAsia="zh-CN"/>
              </w:rPr>
              <w:t>赋能提升外事干部专业素养能力</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面向外办及全市外事干部队伍开展能力提升培训，针对性提供语言训练、外事素养提升、外事工作介绍等培训课程，提升我市外事队伍整体能力，打造一支能力强素质高的外事干部队伍。</w:t>
            </w: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培训工作完成率</w:t>
            </w: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C2重点工作质量达标率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C3重点工作完成及时率</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是否按期完成</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C1重点工作数量完成率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hint="default" w:ascii="仿宋" w:hAnsi="仿宋" w:cs="宋体" w:eastAsiaTheme="minorEastAsia"/>
                <w:color w:val="000000"/>
                <w:kern w:val="0"/>
                <w:sz w:val="24"/>
                <w:szCs w:val="24"/>
                <w:lang w:val="en-US" w:eastAsia="zh-CN"/>
              </w:rPr>
            </w:pPr>
            <w:r>
              <w:rPr>
                <w:rFonts w:hint="eastAsia" w:ascii="仿宋" w:hAnsi="仿宋" w:cs="宋体"/>
                <w:color w:val="000000"/>
                <w:kern w:val="0"/>
                <w:sz w:val="24"/>
                <w:szCs w:val="24"/>
                <w:lang w:val="en-US" w:eastAsia="zh-CN"/>
              </w:rPr>
              <w:t>提升外事礼宾工作水平，在工作中践行外事为宁</w:t>
            </w: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着力提升外事礼宾工作水平，实现专业、高效、精细办活动，向有需求的部门园区提供礼宾接待工作培训和指导，更好服务全市招商引资和对外交往工作。</w:t>
            </w:r>
          </w:p>
        </w:tc>
        <w:tc>
          <w:tcPr>
            <w:tcW w:w="2551" w:type="dxa"/>
            <w:tcBorders>
              <w:top w:val="single" w:color="auto" w:sz="8" w:space="0"/>
              <w:left w:val="nil"/>
              <w:bottom w:val="single" w:color="auto" w:sz="8" w:space="0"/>
              <w:right w:val="single" w:color="auto" w:sz="8" w:space="0"/>
            </w:tcBorders>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外事礼宾工作完成率</w:t>
            </w: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C2重点工作质量达标率</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p>
        </w:tc>
        <w:tc>
          <w:tcPr>
            <w:tcW w:w="3686"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 xml:space="preserve">   </w:t>
            </w:r>
          </w:p>
        </w:tc>
        <w:tc>
          <w:tcPr>
            <w:tcW w:w="851" w:type="dxa"/>
            <w:vMerge w:val="continue"/>
            <w:tcBorders>
              <w:left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C3重点工作完成及时率</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是否按期完成</w:t>
            </w: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left w:val="single" w:color="auto" w:sz="8" w:space="0"/>
              <w:bottom w:val="single" w:color="auto" w:sz="8" w:space="0"/>
              <w:right w:val="single" w:color="auto" w:sz="8" w:space="0"/>
            </w:tcBorders>
          </w:tcPr>
          <w:p>
            <w:pPr>
              <w:widowControl/>
              <w:jc w:val="left"/>
              <w:rPr>
                <w:rFonts w:ascii="仿宋" w:hAnsi="仿宋" w:cs="宋体"/>
                <w:color w:val="000000"/>
                <w:kern w:val="0"/>
                <w:sz w:val="24"/>
                <w:szCs w:val="24"/>
              </w:rPr>
            </w:pPr>
          </w:p>
        </w:tc>
        <w:tc>
          <w:tcPr>
            <w:tcW w:w="992" w:type="dxa"/>
            <w:vMerge w:val="continue"/>
            <w:tcBorders>
              <w:left w:val="single" w:color="auto" w:sz="8" w:space="0"/>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r>
      <w:tr>
        <w:tblPrEx>
          <w:tblLayout w:type="fixed"/>
          <w:tblCellMar>
            <w:top w:w="0" w:type="dxa"/>
            <w:left w:w="108" w:type="dxa"/>
            <w:bottom w:w="0" w:type="dxa"/>
            <w:right w:w="108" w:type="dxa"/>
          </w:tblCellMar>
        </w:tblPrEx>
        <w:trPr>
          <w:trHeight w:val="477" w:hRule="atLeast"/>
        </w:trPr>
        <w:tc>
          <w:tcPr>
            <w:tcW w:w="1266"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D履职绩效（30分）</w:t>
            </w: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D1经济效益</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　</w:t>
            </w:r>
          </w:p>
        </w:tc>
        <w:tc>
          <w:tcPr>
            <w:tcW w:w="3686"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30分</w:t>
            </w:r>
          </w:p>
        </w:tc>
        <w:tc>
          <w:tcPr>
            <w:tcW w:w="992"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jc w:val="left"/>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lang w:val="en-US" w:eastAsia="zh-CN"/>
              </w:rPr>
              <w:t>30</w:t>
            </w:r>
            <w:r>
              <w:rPr>
                <w:rFonts w:hint="default" w:ascii="Times New Roman" w:hAnsi="Times New Roman" w:cs="Times New Roman"/>
                <w:color w:val="000000"/>
                <w:kern w:val="0"/>
                <w:sz w:val="24"/>
                <w:szCs w:val="24"/>
              </w:rPr>
              <w:t>分</w:t>
            </w: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shd w:val="clear" w:color="auto" w:fill="auto"/>
            <w:noWrap/>
            <w:vAlign w:val="center"/>
          </w:tcPr>
          <w:p>
            <w:pPr>
              <w:widowControl/>
              <w:jc w:val="left"/>
              <w:rPr>
                <w:rFonts w:ascii="仿宋" w:hAnsi="仿宋" w:cs="宋体"/>
                <w:color w:val="000000"/>
                <w:kern w:val="0"/>
                <w:sz w:val="24"/>
                <w:szCs w:val="24"/>
              </w:rPr>
            </w:pP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D2社会效益</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3686"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ind w:firstLine="480"/>
              <w:jc w:val="left"/>
              <w:textAlignment w:val="auto"/>
              <w:rPr>
                <w:rFonts w:ascii="仿宋" w:hAnsi="仿宋" w:cs="宋体"/>
                <w:color w:val="000000"/>
                <w:kern w:val="0"/>
                <w:sz w:val="24"/>
                <w:szCs w:val="24"/>
              </w:rPr>
            </w:pPr>
          </w:p>
        </w:tc>
        <w:tc>
          <w:tcPr>
            <w:tcW w:w="851" w:type="dxa"/>
            <w:vMerge w:val="continue"/>
            <w:tcBorders>
              <w:top w:val="single" w:color="auto" w:sz="8" w:space="0"/>
              <w:left w:val="single" w:color="auto" w:sz="8" w:space="0"/>
              <w:bottom w:val="single" w:color="auto" w:sz="8" w:space="0"/>
              <w:right w:val="single" w:color="auto" w:sz="8" w:space="0"/>
            </w:tcBorders>
          </w:tcPr>
          <w:p>
            <w:pPr>
              <w:ind w:firstLine="480"/>
              <w:jc w:val="left"/>
              <w:rPr>
                <w:rFonts w:hint="default" w:ascii="Times New Roman" w:hAnsi="Times New Roman" w:cs="Times New Roman"/>
                <w:color w:val="000000"/>
                <w:kern w:val="0"/>
                <w:sz w:val="24"/>
                <w:szCs w:val="24"/>
              </w:rPr>
            </w:pPr>
          </w:p>
        </w:tc>
        <w:tc>
          <w:tcPr>
            <w:tcW w:w="992"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ind w:firstLine="480"/>
              <w:jc w:val="left"/>
              <w:rPr>
                <w:rFonts w:hint="default" w:ascii="Times New Roman" w:hAnsi="Times New Roman" w:cs="Times New Roman"/>
                <w:color w:val="000000"/>
                <w:kern w:val="0"/>
                <w:sz w:val="24"/>
                <w:szCs w:val="24"/>
              </w:rPr>
            </w:pPr>
          </w:p>
        </w:tc>
      </w:tr>
      <w:tr>
        <w:tblPrEx>
          <w:tblLayout w:type="fixed"/>
          <w:tblCellMar>
            <w:top w:w="0" w:type="dxa"/>
            <w:left w:w="108" w:type="dxa"/>
            <w:bottom w:w="0" w:type="dxa"/>
            <w:right w:w="108" w:type="dxa"/>
          </w:tblCellMar>
        </w:tblPrEx>
        <w:trPr>
          <w:trHeight w:val="571"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D3生态效益</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3686"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　</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p>
        </w:tc>
        <w:tc>
          <w:tcPr>
            <w:tcW w:w="851" w:type="dxa"/>
            <w:vMerge w:val="continue"/>
            <w:tcBorders>
              <w:top w:val="single" w:color="auto" w:sz="8" w:space="0"/>
              <w:left w:val="single" w:color="auto" w:sz="8" w:space="0"/>
              <w:bottom w:val="single" w:color="auto" w:sz="8" w:space="0"/>
              <w:right w:val="single" w:color="auto" w:sz="8" w:space="0"/>
            </w:tcBorders>
          </w:tcPr>
          <w:p>
            <w:pPr>
              <w:widowControl/>
              <w:jc w:val="left"/>
              <w:rPr>
                <w:rFonts w:hint="default" w:ascii="Times New Roman" w:hAnsi="Times New Roman" w:cs="Times New Roman"/>
                <w:color w:val="000000"/>
                <w:kern w:val="0"/>
                <w:sz w:val="24"/>
                <w:szCs w:val="24"/>
              </w:rPr>
            </w:pPr>
          </w:p>
        </w:tc>
        <w:tc>
          <w:tcPr>
            <w:tcW w:w="992"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cs="Times New Roman"/>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D4满意度</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3686"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包含服务对象（可选）、管理对象（可选）、间接受益对象（可选）等</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根据部门（单位）只能确定满意度的调查对象</w:t>
            </w:r>
          </w:p>
        </w:tc>
        <w:tc>
          <w:tcPr>
            <w:tcW w:w="851" w:type="dxa"/>
            <w:vMerge w:val="continue"/>
            <w:tcBorders>
              <w:top w:val="single" w:color="auto" w:sz="8" w:space="0"/>
              <w:left w:val="single" w:color="auto" w:sz="8" w:space="0"/>
              <w:bottom w:val="single" w:color="auto" w:sz="8" w:space="0"/>
              <w:right w:val="single" w:color="auto" w:sz="8" w:space="0"/>
            </w:tcBorders>
          </w:tcPr>
          <w:p>
            <w:pPr>
              <w:widowControl/>
              <w:jc w:val="left"/>
              <w:rPr>
                <w:rFonts w:hint="default" w:ascii="Times New Roman" w:hAnsi="Times New Roman" w:cs="Times New Roman"/>
                <w:color w:val="000000"/>
                <w:kern w:val="0"/>
                <w:sz w:val="24"/>
                <w:szCs w:val="24"/>
              </w:rPr>
            </w:pPr>
          </w:p>
        </w:tc>
        <w:tc>
          <w:tcPr>
            <w:tcW w:w="992"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cs="Times New Roman"/>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restart"/>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E可持续发展能力（5分）</w:t>
            </w:r>
          </w:p>
        </w:tc>
        <w:tc>
          <w:tcPr>
            <w:tcW w:w="162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E1信息化建设情况（可选）</w:t>
            </w:r>
          </w:p>
        </w:tc>
        <w:tc>
          <w:tcPr>
            <w:tcW w:w="3402" w:type="dxa"/>
            <w:tcBorders>
              <w:top w:val="single" w:color="auto" w:sz="8" w:space="0"/>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3686"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办公流程、业务开展是否能通过单位的信息系统实现</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ind w:firstLine="480"/>
              <w:jc w:val="center"/>
              <w:textAlignment w:val="auto"/>
              <w:rPr>
                <w:rFonts w:ascii="仿宋" w:hAnsi="仿宋" w:cs="宋体"/>
                <w:color w:val="000000"/>
                <w:kern w:val="0"/>
                <w:sz w:val="24"/>
                <w:szCs w:val="24"/>
              </w:rPr>
            </w:pPr>
          </w:p>
        </w:tc>
        <w:tc>
          <w:tcPr>
            <w:tcW w:w="851" w:type="dxa"/>
            <w:vMerge w:val="restart"/>
            <w:tcBorders>
              <w:top w:val="single" w:color="auto" w:sz="8" w:space="0"/>
              <w:left w:val="single" w:color="auto" w:sz="8" w:space="0"/>
              <w:right w:val="single" w:color="auto" w:sz="8" w:space="0"/>
            </w:tcBorders>
            <w:vAlign w:val="center"/>
          </w:tcPr>
          <w:p>
            <w:pPr>
              <w:ind w:firstLine="480"/>
              <w:jc w:val="center"/>
              <w:rPr>
                <w:rFonts w:hint="default" w:ascii="Times New Roman" w:hAnsi="Times New Roman" w:cs="Times New Roman"/>
                <w:color w:val="000000"/>
                <w:kern w:val="0"/>
                <w:sz w:val="24"/>
                <w:szCs w:val="24"/>
              </w:rPr>
            </w:pPr>
          </w:p>
          <w:p>
            <w:pPr>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5分</w:t>
            </w:r>
          </w:p>
        </w:tc>
        <w:tc>
          <w:tcPr>
            <w:tcW w:w="992" w:type="dxa"/>
            <w:vMerge w:val="restart"/>
            <w:tcBorders>
              <w:top w:val="single" w:color="auto" w:sz="8" w:space="0"/>
              <w:left w:val="single" w:color="auto" w:sz="8" w:space="0"/>
              <w:right w:val="single" w:color="auto" w:sz="8" w:space="0"/>
            </w:tcBorders>
            <w:shd w:val="clear" w:color="auto" w:fill="auto"/>
            <w:vAlign w:val="center"/>
          </w:tcPr>
          <w:p>
            <w:pPr>
              <w:jc w:val="center"/>
              <w:rPr>
                <w:rFonts w:hint="default" w:ascii="Times New Roman" w:hAnsi="Times New Roman" w:cs="Times New Roman"/>
                <w:color w:val="000000"/>
                <w:kern w:val="0"/>
                <w:sz w:val="24"/>
                <w:szCs w:val="24"/>
              </w:rPr>
            </w:pPr>
          </w:p>
          <w:p>
            <w:pPr>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5分</w:t>
            </w:r>
          </w:p>
        </w:tc>
      </w:tr>
      <w:tr>
        <w:tblPrEx>
          <w:tblLayout w:type="fixed"/>
          <w:tblCellMar>
            <w:top w:w="0" w:type="dxa"/>
            <w:left w:w="108" w:type="dxa"/>
            <w:bottom w:w="0" w:type="dxa"/>
            <w:right w:w="108" w:type="dxa"/>
          </w:tblCellMar>
        </w:tblPrEx>
        <w:trPr>
          <w:trHeight w:val="571" w:hRule="atLeast"/>
        </w:trPr>
        <w:tc>
          <w:tcPr>
            <w:tcW w:w="126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E2人力资源建设情况（可选）</w:t>
            </w:r>
          </w:p>
        </w:tc>
        <w:tc>
          <w:tcPr>
            <w:tcW w:w="3402" w:type="dxa"/>
            <w:tcBorders>
              <w:top w:val="nil"/>
              <w:left w:val="nil"/>
              <w:bottom w:val="single" w:color="auto" w:sz="8" w:space="0"/>
              <w:right w:val="single" w:color="auto" w:sz="8" w:space="0"/>
            </w:tcBorders>
            <w:shd w:val="clear" w:color="auto" w:fill="auto"/>
            <w:noWrap/>
            <w:vAlign w:val="center"/>
          </w:tcPr>
          <w:p>
            <w:pPr>
              <w:widowControl/>
              <w:jc w:val="left"/>
              <w:rPr>
                <w:rFonts w:ascii="等线" w:hAnsi="等线" w:eastAsia="等线" w:cs="宋体"/>
                <w:color w:val="000000"/>
                <w:kern w:val="0"/>
                <w:sz w:val="22"/>
              </w:rPr>
            </w:pP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包含人才培养计划、人才选拔运用、激励措施等</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等线" w:hAnsi="等线" w:eastAsia="等线" w:cs="宋体"/>
                <w:color w:val="000000"/>
                <w:kern w:val="0"/>
                <w:sz w:val="22"/>
              </w:rPr>
            </w:pPr>
          </w:p>
        </w:tc>
        <w:tc>
          <w:tcPr>
            <w:tcW w:w="851" w:type="dxa"/>
            <w:vMerge w:val="continue"/>
            <w:tcBorders>
              <w:left w:val="single" w:color="auto" w:sz="8" w:space="0"/>
              <w:right w:val="single" w:color="auto" w:sz="8" w:space="0"/>
            </w:tcBorders>
          </w:tcPr>
          <w:p>
            <w:pPr>
              <w:widowControl/>
              <w:jc w:val="left"/>
              <w:rPr>
                <w:rFonts w:hint="default" w:ascii="Times New Roman" w:hAnsi="Times New Roman" w:eastAsia="等线" w:cs="Times New Roman"/>
                <w:color w:val="000000"/>
                <w:kern w:val="0"/>
                <w:sz w:val="22"/>
              </w:rPr>
            </w:pPr>
          </w:p>
        </w:tc>
        <w:tc>
          <w:tcPr>
            <w:tcW w:w="992" w:type="dxa"/>
            <w:vMerge w:val="continue"/>
            <w:tcBorders>
              <w:left w:val="single" w:color="auto" w:sz="8" w:space="0"/>
              <w:right w:val="single" w:color="auto" w:sz="8" w:space="0"/>
            </w:tcBorders>
            <w:shd w:val="clear" w:color="auto" w:fill="auto"/>
            <w:noWrap/>
            <w:vAlign w:val="center"/>
          </w:tcPr>
          <w:p>
            <w:pPr>
              <w:widowControl/>
              <w:jc w:val="left"/>
              <w:rPr>
                <w:rFonts w:hint="default" w:ascii="Times New Roman" w:hAnsi="Times New Roman" w:eastAsia="等线" w:cs="Times New Roman"/>
                <w:color w:val="000000"/>
                <w:kern w:val="0"/>
                <w:sz w:val="22"/>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spacing w:line="240" w:lineRule="exact"/>
              <w:jc w:val="left"/>
              <w:rPr>
                <w:rFonts w:ascii="仿宋" w:hAnsi="仿宋" w:cs="宋体"/>
                <w:color w:val="000000"/>
                <w:kern w:val="0"/>
                <w:sz w:val="24"/>
                <w:szCs w:val="24"/>
              </w:rPr>
            </w:pPr>
            <w:r>
              <w:rPr>
                <w:rFonts w:hint="eastAsia" w:ascii="仿宋" w:hAnsi="仿宋" w:cs="宋体"/>
                <w:color w:val="000000"/>
                <w:kern w:val="0"/>
                <w:sz w:val="24"/>
                <w:szCs w:val="24"/>
              </w:rPr>
              <w:t>E3部门创新情况（可选）</w:t>
            </w:r>
          </w:p>
        </w:tc>
        <w:tc>
          <w:tcPr>
            <w:tcW w:w="3402" w:type="dxa"/>
            <w:tcBorders>
              <w:top w:val="nil"/>
              <w:left w:val="nil"/>
              <w:bottom w:val="single" w:color="auto" w:sz="8" w:space="0"/>
              <w:right w:val="single" w:color="auto" w:sz="8" w:space="0"/>
            </w:tcBorders>
            <w:shd w:val="clear" w:color="auto" w:fill="auto"/>
            <w:noWrap/>
            <w:vAlign w:val="center"/>
          </w:tcPr>
          <w:p>
            <w:pPr>
              <w:widowControl/>
              <w:jc w:val="left"/>
              <w:rPr>
                <w:rFonts w:ascii="仿宋" w:hAnsi="仿宋" w:cs="宋体"/>
                <w:color w:val="000000"/>
                <w:kern w:val="0"/>
                <w:sz w:val="22"/>
              </w:rPr>
            </w:pPr>
          </w:p>
        </w:tc>
        <w:tc>
          <w:tcPr>
            <w:tcW w:w="3686" w:type="dxa"/>
            <w:tcBorders>
              <w:top w:val="nil"/>
              <w:left w:val="nil"/>
              <w:bottom w:val="single" w:color="auto" w:sz="8" w:space="0"/>
              <w:right w:val="single" w:color="auto"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包含制度创新、方法创新等</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2"/>
              </w:rPr>
            </w:pPr>
            <w:r>
              <w:rPr>
                <w:rFonts w:hint="eastAsia" w:ascii="仿宋" w:hAnsi="仿宋" w:cs="宋体"/>
                <w:color w:val="000000"/>
                <w:kern w:val="0"/>
                <w:sz w:val="22"/>
              </w:rPr>
              <w:t>部门（单位）需提供创新案例被官方媒体报道的佐证材料</w:t>
            </w:r>
          </w:p>
        </w:tc>
        <w:tc>
          <w:tcPr>
            <w:tcW w:w="851" w:type="dxa"/>
            <w:vMerge w:val="continue"/>
            <w:tcBorders>
              <w:left w:val="single" w:color="auto" w:sz="8" w:space="0"/>
              <w:bottom w:val="single" w:color="auto" w:sz="8" w:space="0"/>
              <w:right w:val="single" w:color="auto" w:sz="8" w:space="0"/>
            </w:tcBorders>
          </w:tcPr>
          <w:p>
            <w:pPr>
              <w:widowControl/>
              <w:jc w:val="left"/>
              <w:rPr>
                <w:rFonts w:hint="default" w:ascii="Times New Roman" w:hAnsi="Times New Roman" w:cs="Times New Roman"/>
                <w:color w:val="000000"/>
                <w:kern w:val="0"/>
                <w:sz w:val="22"/>
              </w:rPr>
            </w:pPr>
          </w:p>
        </w:tc>
        <w:tc>
          <w:tcPr>
            <w:tcW w:w="992" w:type="dxa"/>
            <w:vMerge w:val="continue"/>
            <w:tcBorders>
              <w:left w:val="single" w:color="auto" w:sz="8" w:space="0"/>
              <w:bottom w:val="single" w:color="auto" w:sz="8" w:space="0"/>
              <w:right w:val="single" w:color="auto" w:sz="8" w:space="0"/>
            </w:tcBorders>
            <w:shd w:val="clear" w:color="auto" w:fill="auto"/>
            <w:noWrap/>
            <w:vAlign w:val="center"/>
          </w:tcPr>
          <w:p>
            <w:pPr>
              <w:widowControl/>
              <w:jc w:val="left"/>
              <w:rPr>
                <w:rFonts w:hint="default" w:ascii="Times New Roman" w:hAnsi="Times New Roman" w:cs="Times New Roman"/>
                <w:color w:val="000000"/>
                <w:kern w:val="0"/>
                <w:sz w:val="22"/>
              </w:rPr>
            </w:pPr>
          </w:p>
        </w:tc>
      </w:tr>
      <w:tr>
        <w:tblPrEx>
          <w:tblLayout w:type="fixed"/>
          <w:tblCellMar>
            <w:top w:w="0" w:type="dxa"/>
            <w:left w:w="108" w:type="dxa"/>
            <w:bottom w:w="0" w:type="dxa"/>
            <w:right w:w="108" w:type="dxa"/>
          </w:tblCellMar>
        </w:tblPrEx>
        <w:trPr>
          <w:trHeight w:val="923" w:hRule="atLeast"/>
        </w:trPr>
        <w:tc>
          <w:tcPr>
            <w:tcW w:w="1266" w:type="dxa"/>
            <w:vMerge w:val="restart"/>
            <w:tcBorders>
              <w:top w:val="nil"/>
              <w:left w:val="single" w:color="auto" w:sz="8" w:space="0"/>
              <w:bottom w:val="single" w:color="auto" w:sz="8" w:space="0"/>
              <w:right w:val="single" w:color="auto" w:sz="8" w:space="0"/>
            </w:tcBorders>
            <w:shd w:val="clear" w:color="auto" w:fill="auto"/>
            <w:noWrap/>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F加减分项（≤5分）</w:t>
            </w:r>
          </w:p>
        </w:tc>
        <w:tc>
          <w:tcPr>
            <w:tcW w:w="1623"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F1加分项</w:t>
            </w:r>
          </w:p>
        </w:tc>
        <w:tc>
          <w:tcPr>
            <w:tcW w:w="3402"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部门（单位）受到国务院、省级、市级嘉奖</w:t>
            </w:r>
          </w:p>
        </w:tc>
        <w:tc>
          <w:tcPr>
            <w:tcW w:w="2551" w:type="dxa"/>
            <w:tcBorders>
              <w:top w:val="single" w:color="auto" w:sz="8" w:space="0"/>
              <w:left w:val="nil"/>
              <w:bottom w:val="single" w:color="auto" w:sz="8" w:space="0"/>
              <w:right w:val="single" w:color="auto" w:sz="8" w:space="0"/>
            </w:tcBorders>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受到国务院嘉奖加3分，受到省级嘉奖加2分，得到市级考核一等奖加1分，得到市级考核二等奖加0.5分；同一项工作不累计加分</w:t>
            </w:r>
          </w:p>
        </w:tc>
        <w:tc>
          <w:tcPr>
            <w:tcW w:w="851" w:type="dxa"/>
            <w:tcBorders>
              <w:top w:val="single" w:color="auto" w:sz="8" w:space="0"/>
              <w:left w:val="single" w:color="auto" w:sz="8" w:space="0"/>
              <w:bottom w:val="single" w:color="auto" w:sz="8" w:space="0"/>
              <w:right w:val="single" w:color="auto" w:sz="8" w:space="0"/>
            </w:tcBorders>
          </w:tcPr>
          <w:p>
            <w:pPr>
              <w:widowControl/>
              <w:jc w:val="center"/>
              <w:rPr>
                <w:rFonts w:hint="default" w:ascii="Times New Roman" w:hAnsi="Times New Roman" w:cs="Times New Roman"/>
                <w:color w:val="000000"/>
                <w:kern w:val="0"/>
                <w:sz w:val="24"/>
                <w:szCs w:val="24"/>
              </w:rPr>
            </w:pPr>
          </w:p>
        </w:tc>
        <w:tc>
          <w:tcPr>
            <w:tcW w:w="992"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cs="Times New Roman"/>
                <w:color w:val="000000"/>
                <w:kern w:val="0"/>
                <w:sz w:val="24"/>
                <w:szCs w:val="24"/>
              </w:rPr>
            </w:pPr>
          </w:p>
        </w:tc>
      </w:tr>
      <w:tr>
        <w:tblPrEx>
          <w:tblLayout w:type="fixed"/>
          <w:tblCellMar>
            <w:top w:w="0" w:type="dxa"/>
            <w:left w:w="108" w:type="dxa"/>
            <w:bottom w:w="0" w:type="dxa"/>
            <w:right w:w="108" w:type="dxa"/>
          </w:tblCellMar>
        </w:tblPrEx>
        <w:trPr>
          <w:trHeight w:val="600" w:hRule="atLeast"/>
        </w:trPr>
        <w:tc>
          <w:tcPr>
            <w:tcW w:w="1266" w:type="dxa"/>
            <w:vMerge w:val="continue"/>
            <w:tcBorders>
              <w:top w:val="nil"/>
              <w:left w:val="single" w:color="auto" w:sz="8" w:space="0"/>
              <w:bottom w:val="single" w:color="auto" w:sz="8" w:space="0"/>
              <w:right w:val="single" w:color="auto" w:sz="8" w:space="0"/>
            </w:tcBorders>
            <w:vAlign w:val="center"/>
          </w:tcPr>
          <w:p>
            <w:pPr>
              <w:widowControl/>
              <w:jc w:val="left"/>
              <w:rPr>
                <w:rFonts w:ascii="仿宋" w:hAnsi="仿宋" w:cs="宋体"/>
                <w:color w:val="000000"/>
                <w:kern w:val="0"/>
                <w:sz w:val="24"/>
                <w:szCs w:val="24"/>
              </w:rPr>
            </w:pPr>
          </w:p>
        </w:tc>
        <w:tc>
          <w:tcPr>
            <w:tcW w:w="1623" w:type="dxa"/>
            <w:tcBorders>
              <w:top w:val="nil"/>
              <w:left w:val="nil"/>
              <w:bottom w:val="single" w:color="auto" w:sz="8" w:space="0"/>
              <w:right w:val="single" w:color="auto" w:sz="8" w:space="0"/>
            </w:tcBorders>
            <w:shd w:val="clear" w:color="auto" w:fill="auto"/>
            <w:vAlign w:val="center"/>
          </w:tcPr>
          <w:p>
            <w:pPr>
              <w:widowControl/>
              <w:jc w:val="left"/>
              <w:rPr>
                <w:rFonts w:ascii="仿宋" w:hAnsi="仿宋" w:cs="宋体"/>
                <w:color w:val="000000"/>
                <w:kern w:val="0"/>
                <w:sz w:val="24"/>
                <w:szCs w:val="24"/>
              </w:rPr>
            </w:pPr>
            <w:r>
              <w:rPr>
                <w:rFonts w:hint="eastAsia" w:ascii="仿宋" w:hAnsi="仿宋" w:cs="宋体"/>
                <w:color w:val="000000"/>
                <w:kern w:val="0"/>
                <w:sz w:val="24"/>
                <w:szCs w:val="24"/>
              </w:rPr>
              <w:t>F2减分项</w:t>
            </w:r>
          </w:p>
        </w:tc>
        <w:tc>
          <w:tcPr>
            <w:tcW w:w="3402" w:type="dxa"/>
            <w:tcBorders>
              <w:top w:val="nil"/>
              <w:left w:val="nil"/>
              <w:bottom w:val="single" w:color="auto" w:sz="8" w:space="0"/>
              <w:right w:val="single" w:color="auto" w:sz="8" w:space="0"/>
            </w:tcBorders>
            <w:shd w:val="clear" w:color="auto" w:fill="auto"/>
            <w:noWrap/>
            <w:vAlign w:val="center"/>
          </w:tcPr>
          <w:p>
            <w:pPr>
              <w:widowControl/>
              <w:jc w:val="left"/>
              <w:rPr>
                <w:rFonts w:ascii="等线" w:hAnsi="等线" w:eastAsia="等线" w:cs="宋体"/>
                <w:color w:val="000000"/>
                <w:kern w:val="0"/>
                <w:sz w:val="22"/>
              </w:rPr>
            </w:pPr>
          </w:p>
        </w:tc>
        <w:tc>
          <w:tcPr>
            <w:tcW w:w="3686"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部门（单位）或工作人员违法违纪</w:t>
            </w:r>
          </w:p>
        </w:tc>
        <w:tc>
          <w:tcPr>
            <w:tcW w:w="2551" w:type="dxa"/>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仿宋" w:hAnsi="仿宋" w:cs="宋体"/>
                <w:color w:val="000000"/>
                <w:kern w:val="0"/>
                <w:sz w:val="24"/>
                <w:szCs w:val="24"/>
              </w:rPr>
            </w:pPr>
            <w:r>
              <w:rPr>
                <w:rFonts w:hint="eastAsia" w:ascii="仿宋" w:hAnsi="仿宋" w:cs="宋体"/>
                <w:color w:val="000000"/>
                <w:kern w:val="0"/>
                <w:sz w:val="24"/>
                <w:szCs w:val="24"/>
              </w:rPr>
              <w:t>酌情扣分</w:t>
            </w:r>
          </w:p>
        </w:tc>
        <w:tc>
          <w:tcPr>
            <w:tcW w:w="851" w:type="dxa"/>
            <w:tcBorders>
              <w:top w:val="single" w:color="auto" w:sz="8" w:space="0"/>
              <w:left w:val="single" w:color="auto" w:sz="8" w:space="0"/>
              <w:bottom w:val="single" w:color="auto" w:sz="8" w:space="0"/>
              <w:right w:val="single" w:color="auto" w:sz="8" w:space="0"/>
            </w:tcBorders>
          </w:tcPr>
          <w:p>
            <w:pPr>
              <w:widowControl/>
              <w:jc w:val="left"/>
              <w:rPr>
                <w:rFonts w:hint="default" w:ascii="Times New Roman" w:hAnsi="Times New Roman" w:cs="Times New Roman"/>
                <w:color w:val="000000"/>
                <w:kern w:val="0"/>
                <w:sz w:val="24"/>
                <w:szCs w:val="24"/>
              </w:rPr>
            </w:pPr>
          </w:p>
        </w:tc>
        <w:tc>
          <w:tcPr>
            <w:tcW w:w="992"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cs="Times New Roman"/>
                <w:color w:val="000000"/>
                <w:kern w:val="0"/>
                <w:sz w:val="24"/>
                <w:szCs w:val="24"/>
              </w:rPr>
            </w:pPr>
          </w:p>
        </w:tc>
      </w:tr>
    </w:tbl>
    <w:p>
      <w:pPr>
        <w:spacing w:line="300" w:lineRule="auto"/>
        <w:rPr>
          <w:rFonts w:ascii="Times New Roman" w:hAnsi="Times New Roman" w:eastAsia="方正仿宋_GBK" w:cs="Times New Roman"/>
          <w:sz w:val="32"/>
          <w:szCs w:val="32"/>
        </w:rPr>
      </w:pPr>
    </w:p>
    <w:sectPr>
      <w:headerReference r:id="rId6" w:type="first"/>
      <w:footerReference r:id="rId9" w:type="first"/>
      <w:headerReference r:id="rId4" w:type="default"/>
      <w:footerReference r:id="rId7" w:type="default"/>
      <w:headerReference r:id="rId5" w:type="even"/>
      <w:footerReference r:id="rId8" w:type="even"/>
      <w:pgSz w:w="16838" w:h="11906" w:orient="landscape"/>
      <w:pgMar w:top="1588" w:right="2098" w:bottom="1588" w:left="170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6906663"/>
    </w:sdtPr>
    <w:sdtContent>
      <w:p>
        <w:pPr>
          <w:pStyle w:val="8"/>
          <w:jc w:val="center"/>
        </w:pPr>
        <w:r>
          <w:rPr>
            <w:rFonts w:hint="eastAsia" w:ascii="宋体" w:hAnsi="宋体" w:eastAsia="宋体"/>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9</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hint="eastAsia" w:ascii="宋体" w:hAnsi="宋体" w:eastAsia="宋体"/>
          </w:rPr>
          <w:t>─</w:t>
        </w:r>
        <w:r>
          <w:rPr>
            <w:rFonts w:hint="eastAsia" w:ascii="Times New Roman" w:hAnsi="Times New Roman" w:cs="Times New Roman"/>
            <w:sz w:val="28"/>
            <w:szCs w:val="28"/>
          </w:rPr>
          <w:t xml:space="preserve"> </w:t>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Njg0MGI4MjU3M2M1MTUxNWY3MjQxYTNmYmVjZjAifQ=="/>
  </w:docVars>
  <w:rsids>
    <w:rsidRoot w:val="00472913"/>
    <w:rsid w:val="000073B3"/>
    <w:rsid w:val="0002577F"/>
    <w:rsid w:val="00073D75"/>
    <w:rsid w:val="0009152B"/>
    <w:rsid w:val="000A41EB"/>
    <w:rsid w:val="000E0E2D"/>
    <w:rsid w:val="000E4F01"/>
    <w:rsid w:val="000F35D5"/>
    <w:rsid w:val="00114878"/>
    <w:rsid w:val="0013512A"/>
    <w:rsid w:val="001A3224"/>
    <w:rsid w:val="001B7019"/>
    <w:rsid w:val="0021491B"/>
    <w:rsid w:val="00251905"/>
    <w:rsid w:val="00292520"/>
    <w:rsid w:val="00310CF5"/>
    <w:rsid w:val="00344653"/>
    <w:rsid w:val="00386D58"/>
    <w:rsid w:val="003A208F"/>
    <w:rsid w:val="003A3E33"/>
    <w:rsid w:val="003A6C74"/>
    <w:rsid w:val="00472913"/>
    <w:rsid w:val="004B53BF"/>
    <w:rsid w:val="004E5D66"/>
    <w:rsid w:val="00516B9F"/>
    <w:rsid w:val="0056410C"/>
    <w:rsid w:val="005F01FA"/>
    <w:rsid w:val="006355FD"/>
    <w:rsid w:val="006500BE"/>
    <w:rsid w:val="00652013"/>
    <w:rsid w:val="00732B08"/>
    <w:rsid w:val="007629DB"/>
    <w:rsid w:val="007C409E"/>
    <w:rsid w:val="007D3357"/>
    <w:rsid w:val="007D56E8"/>
    <w:rsid w:val="00812A47"/>
    <w:rsid w:val="00834D2E"/>
    <w:rsid w:val="00865F47"/>
    <w:rsid w:val="008C3BE1"/>
    <w:rsid w:val="0092642F"/>
    <w:rsid w:val="00926F8D"/>
    <w:rsid w:val="00936E67"/>
    <w:rsid w:val="00942D0F"/>
    <w:rsid w:val="009C737E"/>
    <w:rsid w:val="00A2038D"/>
    <w:rsid w:val="00A24850"/>
    <w:rsid w:val="00A26AED"/>
    <w:rsid w:val="00A80A0D"/>
    <w:rsid w:val="00AA5EC2"/>
    <w:rsid w:val="00B673A2"/>
    <w:rsid w:val="00BA0264"/>
    <w:rsid w:val="00BA2673"/>
    <w:rsid w:val="00BA7222"/>
    <w:rsid w:val="00BE7983"/>
    <w:rsid w:val="00C517C5"/>
    <w:rsid w:val="00C62C66"/>
    <w:rsid w:val="00CB59B7"/>
    <w:rsid w:val="00CB6CF8"/>
    <w:rsid w:val="00CD5485"/>
    <w:rsid w:val="00D27440"/>
    <w:rsid w:val="00D36102"/>
    <w:rsid w:val="00D5424A"/>
    <w:rsid w:val="00D847AA"/>
    <w:rsid w:val="00DC1649"/>
    <w:rsid w:val="00DC217C"/>
    <w:rsid w:val="00E37F90"/>
    <w:rsid w:val="00E86A89"/>
    <w:rsid w:val="00EB1F5E"/>
    <w:rsid w:val="00EF29A4"/>
    <w:rsid w:val="00F36BD4"/>
    <w:rsid w:val="00FF5291"/>
    <w:rsid w:val="01465BE5"/>
    <w:rsid w:val="015D339A"/>
    <w:rsid w:val="03D64DF8"/>
    <w:rsid w:val="03D84125"/>
    <w:rsid w:val="04152EB3"/>
    <w:rsid w:val="060E46C2"/>
    <w:rsid w:val="06647C85"/>
    <w:rsid w:val="06B275A5"/>
    <w:rsid w:val="074561FA"/>
    <w:rsid w:val="07C34431"/>
    <w:rsid w:val="091132FC"/>
    <w:rsid w:val="09A868A0"/>
    <w:rsid w:val="0CE9066E"/>
    <w:rsid w:val="0CF74598"/>
    <w:rsid w:val="0DCD0DF9"/>
    <w:rsid w:val="0DF36EA6"/>
    <w:rsid w:val="0E194431"/>
    <w:rsid w:val="0E92270E"/>
    <w:rsid w:val="0F95217B"/>
    <w:rsid w:val="119F0464"/>
    <w:rsid w:val="11EE4031"/>
    <w:rsid w:val="11F65D04"/>
    <w:rsid w:val="12F56A68"/>
    <w:rsid w:val="13D256AD"/>
    <w:rsid w:val="15100481"/>
    <w:rsid w:val="17813F45"/>
    <w:rsid w:val="189C50AA"/>
    <w:rsid w:val="1A7D2171"/>
    <w:rsid w:val="1A972A3C"/>
    <w:rsid w:val="1B2415B4"/>
    <w:rsid w:val="1B2A7AAB"/>
    <w:rsid w:val="1BB67D84"/>
    <w:rsid w:val="1C4270C8"/>
    <w:rsid w:val="1CE303A9"/>
    <w:rsid w:val="1CEA71C3"/>
    <w:rsid w:val="1E7F54E7"/>
    <w:rsid w:val="1ED9219E"/>
    <w:rsid w:val="1F077119"/>
    <w:rsid w:val="1FF160FC"/>
    <w:rsid w:val="1FFF5D9B"/>
    <w:rsid w:val="21133EAA"/>
    <w:rsid w:val="22AC4A6F"/>
    <w:rsid w:val="24616E60"/>
    <w:rsid w:val="26205A3B"/>
    <w:rsid w:val="267D7B94"/>
    <w:rsid w:val="2875465C"/>
    <w:rsid w:val="29D63B28"/>
    <w:rsid w:val="2AB900E0"/>
    <w:rsid w:val="2B183AF5"/>
    <w:rsid w:val="2B892F2B"/>
    <w:rsid w:val="2D9D2235"/>
    <w:rsid w:val="2E4B57F3"/>
    <w:rsid w:val="302C2534"/>
    <w:rsid w:val="319B4E07"/>
    <w:rsid w:val="37600D8F"/>
    <w:rsid w:val="3AA450A8"/>
    <w:rsid w:val="3ADD25A1"/>
    <w:rsid w:val="3C2A4186"/>
    <w:rsid w:val="3C8F6360"/>
    <w:rsid w:val="3CFC7E62"/>
    <w:rsid w:val="3E201A70"/>
    <w:rsid w:val="3F625A0B"/>
    <w:rsid w:val="40631C3B"/>
    <w:rsid w:val="41362F31"/>
    <w:rsid w:val="41F665AE"/>
    <w:rsid w:val="42DE6608"/>
    <w:rsid w:val="44FC39B7"/>
    <w:rsid w:val="453172FD"/>
    <w:rsid w:val="45906B3A"/>
    <w:rsid w:val="459F6E4B"/>
    <w:rsid w:val="46A41B08"/>
    <w:rsid w:val="46DD6945"/>
    <w:rsid w:val="4858054E"/>
    <w:rsid w:val="4AB00147"/>
    <w:rsid w:val="4CFF2335"/>
    <w:rsid w:val="4D125A14"/>
    <w:rsid w:val="4D5A6BF3"/>
    <w:rsid w:val="4D635241"/>
    <w:rsid w:val="4DB72B71"/>
    <w:rsid w:val="4DEE3723"/>
    <w:rsid w:val="4E1634ED"/>
    <w:rsid w:val="4E22323C"/>
    <w:rsid w:val="4F2D3543"/>
    <w:rsid w:val="4FA616DF"/>
    <w:rsid w:val="5020148D"/>
    <w:rsid w:val="50600920"/>
    <w:rsid w:val="51D923EB"/>
    <w:rsid w:val="52D36C9A"/>
    <w:rsid w:val="538C740E"/>
    <w:rsid w:val="53A065C9"/>
    <w:rsid w:val="544132B2"/>
    <w:rsid w:val="544F243E"/>
    <w:rsid w:val="55B662D9"/>
    <w:rsid w:val="56D63ED4"/>
    <w:rsid w:val="57C35A63"/>
    <w:rsid w:val="5BE72E75"/>
    <w:rsid w:val="5D6F0E7B"/>
    <w:rsid w:val="5E89517E"/>
    <w:rsid w:val="6074044E"/>
    <w:rsid w:val="615D4EF9"/>
    <w:rsid w:val="61B927BC"/>
    <w:rsid w:val="61DC0C47"/>
    <w:rsid w:val="62031729"/>
    <w:rsid w:val="63852BB1"/>
    <w:rsid w:val="64464B08"/>
    <w:rsid w:val="66E55A5B"/>
    <w:rsid w:val="69115248"/>
    <w:rsid w:val="6A097D14"/>
    <w:rsid w:val="6A5F1B64"/>
    <w:rsid w:val="6AB82FEB"/>
    <w:rsid w:val="6BDC10D8"/>
    <w:rsid w:val="6D2F6D57"/>
    <w:rsid w:val="6D823527"/>
    <w:rsid w:val="6DBC0566"/>
    <w:rsid w:val="6EC571B4"/>
    <w:rsid w:val="6F773BB9"/>
    <w:rsid w:val="6FEB047D"/>
    <w:rsid w:val="70000DF6"/>
    <w:rsid w:val="70471C73"/>
    <w:rsid w:val="707A2A76"/>
    <w:rsid w:val="71172EB8"/>
    <w:rsid w:val="715104CD"/>
    <w:rsid w:val="71A22B83"/>
    <w:rsid w:val="72A43FC4"/>
    <w:rsid w:val="72EC46CC"/>
    <w:rsid w:val="73571046"/>
    <w:rsid w:val="73E33B39"/>
    <w:rsid w:val="74B46446"/>
    <w:rsid w:val="74C64035"/>
    <w:rsid w:val="759F1F00"/>
    <w:rsid w:val="75A03584"/>
    <w:rsid w:val="772123E3"/>
    <w:rsid w:val="78567246"/>
    <w:rsid w:val="78A92EF4"/>
    <w:rsid w:val="78CA77BC"/>
    <w:rsid w:val="7934713A"/>
    <w:rsid w:val="7A466DE9"/>
    <w:rsid w:val="7AB408EE"/>
    <w:rsid w:val="7AED6F3F"/>
    <w:rsid w:val="7CD67C72"/>
    <w:rsid w:val="7E4B220B"/>
    <w:rsid w:val="7F032C71"/>
    <w:rsid w:val="7F0D16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eastAsia="宋体" w:cs="Times New Roman"/>
      <w:b/>
      <w:kern w:val="44"/>
      <w:sz w:val="44"/>
      <w:szCs w:val="44"/>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6"/>
    <w:basedOn w:val="1"/>
    <w:next w:val="1"/>
    <w:link w:val="18"/>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6">
    <w:name w:val="Body Text"/>
    <w:basedOn w:val="1"/>
    <w:qFormat/>
    <w:uiPriority w:val="1"/>
    <w:rPr>
      <w:rFonts w:ascii="方正仿宋_GBK" w:hAnsi="方正仿宋_GBK" w:eastAsia="方正仿宋_GBK" w:cs="方正仿宋_GBK"/>
      <w:sz w:val="32"/>
      <w:szCs w:val="32"/>
    </w:rPr>
  </w:style>
  <w:style w:type="paragraph" w:styleId="7">
    <w:name w:val="Balloon Text"/>
    <w:basedOn w:val="1"/>
    <w:link w:val="224"/>
    <w:semiHidden/>
    <w:unhideWhenUsed/>
    <w:qFormat/>
    <w:uiPriority w:val="99"/>
    <w:rPr>
      <w:sz w:val="18"/>
      <w:szCs w:val="18"/>
    </w:rPr>
  </w:style>
  <w:style w:type="paragraph" w:styleId="8">
    <w:name w:val="footer"/>
    <w:basedOn w:val="1"/>
    <w:link w:val="226"/>
    <w:unhideWhenUsed/>
    <w:qFormat/>
    <w:uiPriority w:val="99"/>
    <w:pPr>
      <w:tabs>
        <w:tab w:val="center" w:pos="4153"/>
        <w:tab w:val="right" w:pos="8306"/>
      </w:tabs>
      <w:snapToGrid w:val="0"/>
      <w:jc w:val="left"/>
    </w:pPr>
    <w:rPr>
      <w:sz w:val="18"/>
      <w:szCs w:val="18"/>
    </w:rPr>
  </w:style>
  <w:style w:type="paragraph" w:styleId="9">
    <w:name w:val="header"/>
    <w:basedOn w:val="1"/>
    <w:link w:val="2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3">
    <w:name w:val="Strong"/>
    <w:basedOn w:val="12"/>
    <w:qFormat/>
    <w:uiPriority w:val="22"/>
    <w:rPr>
      <w:b/>
      <w:bCs/>
    </w:rPr>
  </w:style>
  <w:style w:type="character" w:styleId="14">
    <w:name w:val="FollowedHyperlink"/>
    <w:basedOn w:val="12"/>
    <w:semiHidden/>
    <w:unhideWhenUsed/>
    <w:qFormat/>
    <w:uiPriority w:val="99"/>
    <w:rPr>
      <w:color w:val="4C4C4C"/>
      <w:u w:val="none"/>
    </w:rPr>
  </w:style>
  <w:style w:type="character" w:styleId="15">
    <w:name w:val="Hyperlink"/>
    <w:basedOn w:val="12"/>
    <w:semiHidden/>
    <w:unhideWhenUsed/>
    <w:qFormat/>
    <w:uiPriority w:val="99"/>
    <w:rPr>
      <w:color w:val="4C4C4C"/>
      <w:u w:val="none"/>
    </w:rPr>
  </w:style>
  <w:style w:type="character" w:customStyle="1" w:styleId="16">
    <w:name w:val="标题 2 Char"/>
    <w:basedOn w:val="12"/>
    <w:link w:val="3"/>
    <w:qFormat/>
    <w:uiPriority w:val="9"/>
    <w:rPr>
      <w:rFonts w:ascii="宋体" w:hAnsi="宋体" w:eastAsia="宋体" w:cs="宋体"/>
      <w:b/>
      <w:bCs/>
      <w:kern w:val="0"/>
      <w:sz w:val="36"/>
      <w:szCs w:val="36"/>
    </w:rPr>
  </w:style>
  <w:style w:type="character" w:customStyle="1" w:styleId="17">
    <w:name w:val="标题 3 Char"/>
    <w:basedOn w:val="12"/>
    <w:link w:val="4"/>
    <w:qFormat/>
    <w:uiPriority w:val="9"/>
    <w:rPr>
      <w:rFonts w:ascii="宋体" w:hAnsi="宋体" w:eastAsia="宋体" w:cs="宋体"/>
      <w:b/>
      <w:bCs/>
      <w:kern w:val="0"/>
      <w:sz w:val="27"/>
      <w:szCs w:val="27"/>
    </w:rPr>
  </w:style>
  <w:style w:type="character" w:customStyle="1" w:styleId="18">
    <w:name w:val="标题 6 Char"/>
    <w:basedOn w:val="12"/>
    <w:link w:val="5"/>
    <w:qFormat/>
    <w:uiPriority w:val="9"/>
    <w:rPr>
      <w:rFonts w:ascii="宋体" w:hAnsi="宋体" w:eastAsia="宋体" w:cs="宋体"/>
      <w:b/>
      <w:bCs/>
      <w:kern w:val="0"/>
      <w:sz w:val="15"/>
      <w:szCs w:val="15"/>
    </w:rPr>
  </w:style>
  <w:style w:type="paragraph" w:customStyle="1" w:styleId="19">
    <w:name w:val="bdnon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clea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
    <w:name w:val="mt20"/>
    <w:basedOn w:val="1"/>
    <w:qFormat/>
    <w:uiPriority w:val="0"/>
    <w:pPr>
      <w:widowControl/>
      <w:spacing w:before="300" w:after="100" w:afterAutospacing="1"/>
      <w:jc w:val="left"/>
    </w:pPr>
    <w:rPr>
      <w:rFonts w:ascii="宋体" w:hAnsi="宋体" w:eastAsia="宋体" w:cs="宋体"/>
      <w:kern w:val="0"/>
      <w:sz w:val="24"/>
      <w:szCs w:val="24"/>
    </w:rPr>
  </w:style>
  <w:style w:type="paragraph" w:customStyle="1" w:styleId="22">
    <w:name w:val="mt15"/>
    <w:basedOn w:val="1"/>
    <w:qFormat/>
    <w:uiPriority w:val="0"/>
    <w:pPr>
      <w:widowControl/>
      <w:spacing w:before="225" w:after="100" w:afterAutospacing="1"/>
      <w:jc w:val="left"/>
    </w:pPr>
    <w:rPr>
      <w:rFonts w:ascii="宋体" w:hAnsi="宋体" w:eastAsia="宋体" w:cs="宋体"/>
      <w:kern w:val="0"/>
      <w:sz w:val="24"/>
      <w:szCs w:val="24"/>
    </w:rPr>
  </w:style>
  <w:style w:type="paragraph" w:customStyle="1" w:styleId="23">
    <w:name w:val="mt10"/>
    <w:basedOn w:val="1"/>
    <w:qFormat/>
    <w:uiPriority w:val="0"/>
    <w:pPr>
      <w:widowControl/>
      <w:spacing w:before="150" w:after="100" w:afterAutospacing="1"/>
      <w:jc w:val="left"/>
    </w:pPr>
    <w:rPr>
      <w:rFonts w:ascii="宋体" w:hAnsi="宋体" w:eastAsia="宋体" w:cs="宋体"/>
      <w:kern w:val="0"/>
      <w:sz w:val="24"/>
      <w:szCs w:val="24"/>
    </w:rPr>
  </w:style>
  <w:style w:type="paragraph" w:customStyle="1" w:styleId="24">
    <w:name w:val="ml20"/>
    <w:basedOn w:val="1"/>
    <w:qFormat/>
    <w:uiPriority w:val="0"/>
    <w:pPr>
      <w:widowControl/>
      <w:spacing w:before="100" w:beforeAutospacing="1" w:after="100" w:afterAutospacing="1"/>
      <w:ind w:left="300"/>
      <w:jc w:val="left"/>
    </w:pPr>
    <w:rPr>
      <w:rFonts w:ascii="宋体" w:hAnsi="宋体" w:eastAsia="宋体" w:cs="宋体"/>
      <w:kern w:val="0"/>
      <w:sz w:val="24"/>
      <w:szCs w:val="24"/>
    </w:rPr>
  </w:style>
  <w:style w:type="paragraph" w:customStyle="1" w:styleId="25">
    <w:name w:val="ml8"/>
    <w:basedOn w:val="1"/>
    <w:qFormat/>
    <w:uiPriority w:val="0"/>
    <w:pPr>
      <w:widowControl/>
      <w:spacing w:before="100" w:beforeAutospacing="1" w:after="100" w:afterAutospacing="1"/>
      <w:ind w:left="120"/>
      <w:jc w:val="left"/>
    </w:pPr>
    <w:rPr>
      <w:rFonts w:ascii="宋体" w:hAnsi="宋体" w:eastAsia="宋体" w:cs="宋体"/>
      <w:kern w:val="0"/>
      <w:sz w:val="24"/>
      <w:szCs w:val="24"/>
    </w:rPr>
  </w:style>
  <w:style w:type="paragraph" w:customStyle="1" w:styleId="26">
    <w:name w:val="mtb10"/>
    <w:basedOn w:val="1"/>
    <w:qFormat/>
    <w:uiPriority w:val="0"/>
    <w:pPr>
      <w:widowControl/>
      <w:spacing w:before="150" w:after="150"/>
      <w:jc w:val="left"/>
    </w:pPr>
    <w:rPr>
      <w:rFonts w:ascii="宋体" w:hAnsi="宋体" w:eastAsia="宋体" w:cs="宋体"/>
      <w:kern w:val="0"/>
      <w:sz w:val="24"/>
      <w:szCs w:val="24"/>
    </w:rPr>
  </w:style>
  <w:style w:type="paragraph" w:customStyle="1" w:styleId="27">
    <w:name w:val="top_b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
    <w:name w:val="top"/>
    <w:basedOn w:val="1"/>
    <w:qFormat/>
    <w:uiPriority w:val="0"/>
    <w:pPr>
      <w:widowControl/>
      <w:spacing w:line="450" w:lineRule="atLeast"/>
      <w:jc w:val="left"/>
    </w:pPr>
    <w:rPr>
      <w:rFonts w:ascii="宋体" w:hAnsi="宋体" w:eastAsia="宋体" w:cs="宋体"/>
      <w:kern w:val="0"/>
      <w:sz w:val="24"/>
      <w:szCs w:val="24"/>
    </w:rPr>
  </w:style>
  <w:style w:type="paragraph" w:customStyle="1" w:styleId="29">
    <w:name w:val="页眉1"/>
    <w:basedOn w:val="1"/>
    <w:qFormat/>
    <w:uiPriority w:val="0"/>
    <w:pPr>
      <w:widowControl/>
      <w:spacing w:line="2670" w:lineRule="atLeast"/>
      <w:jc w:val="left"/>
    </w:pPr>
    <w:rPr>
      <w:rFonts w:ascii="宋体" w:hAnsi="宋体" w:eastAsia="宋体" w:cs="宋体"/>
      <w:kern w:val="0"/>
      <w:sz w:val="24"/>
      <w:szCs w:val="24"/>
    </w:rPr>
  </w:style>
  <w:style w:type="paragraph" w:customStyle="1" w:styleId="30">
    <w:name w:val="dropselect_simpleselect"/>
    <w:basedOn w:val="1"/>
    <w:qFormat/>
    <w:uiPriority w:val="0"/>
    <w:pPr>
      <w:widowControl/>
      <w:shd w:val="clear" w:color="auto" w:fill="FFFFFF"/>
      <w:spacing w:before="100" w:beforeAutospacing="1" w:after="100" w:afterAutospacing="1" w:line="540" w:lineRule="atLeast"/>
      <w:ind w:firstLine="150"/>
      <w:jc w:val="left"/>
    </w:pPr>
    <w:rPr>
      <w:rFonts w:ascii="宋体" w:hAnsi="宋体" w:eastAsia="宋体" w:cs="宋体"/>
      <w:kern w:val="0"/>
      <w:sz w:val="24"/>
      <w:szCs w:val="24"/>
    </w:rPr>
  </w:style>
  <w:style w:type="paragraph" w:customStyle="1" w:styleId="31">
    <w:name w:val="search_text"/>
    <w:basedOn w:val="1"/>
    <w:qFormat/>
    <w:uiPriority w:val="0"/>
    <w:pPr>
      <w:widowControl/>
      <w:spacing w:before="100" w:beforeAutospacing="1" w:after="100" w:afterAutospacing="1" w:line="540" w:lineRule="atLeast"/>
      <w:ind w:firstLine="150"/>
      <w:jc w:val="left"/>
    </w:pPr>
    <w:rPr>
      <w:rFonts w:ascii="宋体" w:hAnsi="宋体" w:eastAsia="宋体" w:cs="宋体"/>
      <w:color w:val="333333"/>
      <w:kern w:val="0"/>
      <w:sz w:val="24"/>
      <w:szCs w:val="24"/>
    </w:rPr>
  </w:style>
  <w:style w:type="paragraph" w:customStyle="1" w:styleId="32">
    <w:name w:val="search_sub"/>
    <w:basedOn w:val="1"/>
    <w:qFormat/>
    <w:uiPriority w:val="0"/>
    <w:pPr>
      <w:widowControl/>
      <w:shd w:val="clear" w:color="auto" w:fill="569AD4"/>
      <w:spacing w:before="100" w:beforeAutospacing="1" w:after="100" w:afterAutospacing="1"/>
      <w:jc w:val="left"/>
    </w:pPr>
    <w:rPr>
      <w:rFonts w:ascii="宋体" w:hAnsi="宋体" w:eastAsia="宋体" w:cs="宋体"/>
      <w:color w:val="FFFFFF"/>
      <w:kern w:val="0"/>
      <w:sz w:val="24"/>
      <w:szCs w:val="24"/>
    </w:rPr>
  </w:style>
  <w:style w:type="paragraph" w:customStyle="1" w:styleId="33">
    <w:name w:val="nav"/>
    <w:basedOn w:val="1"/>
    <w:qFormat/>
    <w:uiPriority w:val="0"/>
    <w:pPr>
      <w:widowControl/>
      <w:pBdr>
        <w:top w:val="single" w:color="484848" w:sz="18" w:space="0"/>
      </w:pBdr>
      <w:jc w:val="left"/>
    </w:pPr>
    <w:rPr>
      <w:rFonts w:ascii="宋体" w:hAnsi="宋体" w:eastAsia="宋体" w:cs="宋体"/>
      <w:kern w:val="0"/>
      <w:sz w:val="24"/>
      <w:szCs w:val="24"/>
    </w:rPr>
  </w:style>
  <w:style w:type="paragraph" w:customStyle="1" w:styleId="34">
    <w:name w:val="friend_link_box"/>
    <w:basedOn w:val="1"/>
    <w:qFormat/>
    <w:uiPriority w:val="0"/>
    <w:pPr>
      <w:widowControl/>
      <w:pBdr>
        <w:top w:val="single" w:color="1A5DB1" w:sz="6" w:space="0"/>
      </w:pBdr>
      <w:shd w:val="clear" w:color="auto" w:fill="F8F8F8"/>
      <w:spacing w:before="100" w:beforeAutospacing="1" w:after="100" w:afterAutospacing="1"/>
      <w:jc w:val="left"/>
    </w:pPr>
    <w:rPr>
      <w:rFonts w:ascii="宋体" w:hAnsi="宋体" w:eastAsia="宋体" w:cs="宋体"/>
      <w:kern w:val="0"/>
      <w:sz w:val="24"/>
      <w:szCs w:val="24"/>
    </w:rPr>
  </w:style>
  <w:style w:type="paragraph" w:customStyle="1" w:styleId="35">
    <w:name w:val="friend_link"/>
    <w:basedOn w:val="1"/>
    <w:qFormat/>
    <w:uiPriority w:val="0"/>
    <w:pPr>
      <w:widowControl/>
      <w:spacing w:line="900" w:lineRule="atLeast"/>
      <w:jc w:val="left"/>
    </w:pPr>
    <w:rPr>
      <w:rFonts w:ascii="宋体" w:hAnsi="宋体" w:eastAsia="宋体" w:cs="宋体"/>
      <w:kern w:val="0"/>
      <w:sz w:val="24"/>
      <w:szCs w:val="24"/>
    </w:rPr>
  </w:style>
  <w:style w:type="paragraph" w:customStyle="1" w:styleId="36">
    <w:name w:val="dropselect_simpleselect1"/>
    <w:basedOn w:val="1"/>
    <w:qFormat/>
    <w:uiPriority w:val="0"/>
    <w:pPr>
      <w:widowControl/>
      <w:shd w:val="clear" w:color="auto" w:fill="DEE6F0"/>
      <w:spacing w:before="100" w:beforeAutospacing="1" w:after="100" w:afterAutospacing="1" w:line="525" w:lineRule="atLeast"/>
      <w:ind w:firstLine="150"/>
      <w:jc w:val="left"/>
    </w:pPr>
    <w:rPr>
      <w:rFonts w:ascii="宋体" w:hAnsi="宋体" w:eastAsia="宋体" w:cs="宋体"/>
      <w:kern w:val="0"/>
      <w:sz w:val="24"/>
      <w:szCs w:val="24"/>
    </w:rPr>
  </w:style>
  <w:style w:type="paragraph" w:customStyle="1" w:styleId="37">
    <w:name w:val="hidden"/>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38">
    <w:name w:val="页脚1"/>
    <w:basedOn w:val="1"/>
    <w:qFormat/>
    <w:uiPriority w:val="0"/>
    <w:pPr>
      <w:widowControl/>
      <w:shd w:val="clear" w:color="auto" w:fill="FFFFFF"/>
      <w:spacing w:before="100" w:beforeAutospacing="1" w:after="100" w:afterAutospacing="1"/>
      <w:jc w:val="center"/>
    </w:pPr>
    <w:rPr>
      <w:rFonts w:ascii="宋体" w:hAnsi="宋体" w:eastAsia="宋体" w:cs="宋体"/>
      <w:kern w:val="0"/>
      <w:sz w:val="24"/>
      <w:szCs w:val="24"/>
    </w:rPr>
  </w:style>
  <w:style w:type="paragraph" w:customStyle="1" w:styleId="39">
    <w:name w:val="foot_info"/>
    <w:basedOn w:val="1"/>
    <w:qFormat/>
    <w:uiPriority w:val="0"/>
    <w:pPr>
      <w:widowControl/>
      <w:jc w:val="left"/>
    </w:pPr>
    <w:rPr>
      <w:rFonts w:ascii="宋体" w:hAnsi="宋体" w:eastAsia="宋体" w:cs="宋体"/>
      <w:kern w:val="0"/>
      <w:sz w:val="24"/>
      <w:szCs w:val="24"/>
    </w:rPr>
  </w:style>
  <w:style w:type="paragraph" w:customStyle="1" w:styleId="40">
    <w:name w:val="tit_ta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main"/>
    <w:basedOn w:val="1"/>
    <w:qFormat/>
    <w:uiPriority w:val="0"/>
    <w:pPr>
      <w:widowControl/>
      <w:jc w:val="left"/>
    </w:pPr>
    <w:rPr>
      <w:rFonts w:ascii="宋体" w:hAnsi="宋体" w:eastAsia="宋体" w:cs="宋体"/>
      <w:kern w:val="0"/>
      <w:sz w:val="24"/>
      <w:szCs w:val="24"/>
    </w:rPr>
  </w:style>
  <w:style w:type="paragraph" w:customStyle="1" w:styleId="42">
    <w:name w:val="wd_lef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
    <w:name w:val="wd_mi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
    <w:name w:val="wd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5">
    <w:name w:val="title"/>
    <w:basedOn w:val="1"/>
    <w:qFormat/>
    <w:uiPriority w:val="0"/>
    <w:pPr>
      <w:widowControl/>
      <w:pBdr>
        <w:top w:val="single" w:color="484848" w:sz="18" w:space="0"/>
      </w:pBdr>
      <w:spacing w:before="100" w:beforeAutospacing="1" w:after="100" w:afterAutospacing="1"/>
      <w:jc w:val="center"/>
    </w:pPr>
    <w:rPr>
      <w:rFonts w:ascii="宋体" w:hAnsi="宋体" w:eastAsia="宋体" w:cs="宋体"/>
      <w:kern w:val="0"/>
      <w:sz w:val="24"/>
      <w:szCs w:val="24"/>
    </w:rPr>
  </w:style>
  <w:style w:type="paragraph" w:customStyle="1" w:styleId="46">
    <w:name w:val="list"/>
    <w:basedOn w:val="1"/>
    <w:qFormat/>
    <w:uiPriority w:val="0"/>
    <w:pPr>
      <w:widowControl/>
      <w:spacing w:before="225" w:after="100" w:afterAutospacing="1"/>
      <w:jc w:val="left"/>
    </w:pPr>
    <w:rPr>
      <w:rFonts w:ascii="宋体" w:hAnsi="宋体" w:eastAsia="宋体" w:cs="宋体"/>
      <w:vanish/>
      <w:kern w:val="0"/>
      <w:sz w:val="24"/>
      <w:szCs w:val="24"/>
    </w:rPr>
  </w:style>
  <w:style w:type="paragraph" w:customStyle="1" w:styleId="47">
    <w:name w:val="ztz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
    <w:name w:val="sc_wd26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
    <w:name w:val="sc_wd42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
    <w:name w:val="wd86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1">
    <w:name w:val="path"/>
    <w:basedOn w:val="1"/>
    <w:qFormat/>
    <w:uiPriority w:val="0"/>
    <w:pPr>
      <w:widowControl/>
      <w:shd w:val="clear" w:color="auto" w:fill="F8F8F8"/>
      <w:spacing w:before="100" w:beforeAutospacing="1" w:after="100" w:afterAutospacing="1" w:line="675" w:lineRule="atLeast"/>
      <w:jc w:val="left"/>
    </w:pPr>
    <w:rPr>
      <w:rFonts w:ascii="宋体" w:hAnsi="宋体" w:eastAsia="宋体" w:cs="宋体"/>
      <w:kern w:val="0"/>
      <w:szCs w:val="21"/>
    </w:rPr>
  </w:style>
  <w:style w:type="paragraph" w:customStyle="1" w:styleId="52">
    <w:name w:val="curpo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3">
    <w:name w:val="main_list_lef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4">
    <w:name w:val="sc_title"/>
    <w:basedOn w:val="1"/>
    <w:qFormat/>
    <w:uiPriority w:val="0"/>
    <w:pPr>
      <w:widowControl/>
      <w:pBdr>
        <w:top w:val="single" w:color="1A5DB1" w:sz="18" w:space="0"/>
      </w:pBdr>
      <w:shd w:val="clear" w:color="auto" w:fill="F1F5F7"/>
      <w:spacing w:before="100" w:beforeAutospacing="1" w:after="100" w:afterAutospacing="1" w:line="750" w:lineRule="atLeast"/>
      <w:jc w:val="left"/>
    </w:pPr>
    <w:rPr>
      <w:rFonts w:ascii="宋体" w:hAnsi="宋体" w:eastAsia="宋体" w:cs="宋体"/>
      <w:kern w:val="0"/>
      <w:sz w:val="24"/>
      <w:szCs w:val="24"/>
    </w:rPr>
  </w:style>
  <w:style w:type="paragraph" w:customStyle="1" w:styleId="55">
    <w:name w:val="leader"/>
    <w:basedOn w:val="1"/>
    <w:qFormat/>
    <w:uiPriority w:val="0"/>
    <w:pPr>
      <w:widowControl/>
      <w:pBdr>
        <w:top w:val="single" w:color="FFFFFF" w:sz="6" w:space="8"/>
      </w:pBdr>
      <w:shd w:val="clear" w:color="auto" w:fill="F8F8F8"/>
      <w:spacing w:before="100" w:beforeAutospacing="1" w:after="100" w:afterAutospacing="1"/>
      <w:jc w:val="left"/>
    </w:pPr>
    <w:rPr>
      <w:rFonts w:ascii="宋体" w:hAnsi="宋体" w:eastAsia="宋体" w:cs="宋体"/>
      <w:kern w:val="0"/>
      <w:sz w:val="24"/>
      <w:szCs w:val="24"/>
    </w:rPr>
  </w:style>
  <w:style w:type="paragraph" w:customStyle="1" w:styleId="56">
    <w:name w:val="tabl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hdjl_main"/>
    <w:basedOn w:val="1"/>
    <w:qFormat/>
    <w:uiPriority w:val="0"/>
    <w:pPr>
      <w:widowControl/>
      <w:spacing w:before="150" w:after="100" w:afterAutospacing="1"/>
      <w:jc w:val="left"/>
    </w:pPr>
    <w:rPr>
      <w:rFonts w:ascii="宋体" w:hAnsi="宋体" w:eastAsia="宋体" w:cs="宋体"/>
      <w:kern w:val="0"/>
      <w:sz w:val="24"/>
      <w:szCs w:val="24"/>
    </w:rPr>
  </w:style>
  <w:style w:type="paragraph" w:customStyle="1" w:styleId="58">
    <w:name w:val="hdjl_zjdc"/>
    <w:basedOn w:val="1"/>
    <w:qFormat/>
    <w:uiPriority w:val="0"/>
    <w:pPr>
      <w:widowControl/>
      <w:spacing w:before="100" w:beforeAutospacing="1" w:after="300"/>
      <w:jc w:val="left"/>
    </w:pPr>
    <w:rPr>
      <w:rFonts w:ascii="宋体" w:hAnsi="宋体" w:eastAsia="宋体" w:cs="宋体"/>
      <w:kern w:val="0"/>
      <w:sz w:val="24"/>
      <w:szCs w:val="24"/>
    </w:rPr>
  </w:style>
  <w:style w:type="paragraph" w:customStyle="1" w:styleId="59">
    <w:name w:val="hdjl_main_left"/>
    <w:basedOn w:val="1"/>
    <w:qFormat/>
    <w:uiPriority w:val="0"/>
    <w:pPr>
      <w:widowControl/>
      <w:pBdr>
        <w:right w:val="single" w:color="E5E5E5" w:sz="6" w:space="0"/>
      </w:pBdr>
      <w:spacing w:before="100" w:beforeAutospacing="1" w:after="100" w:afterAutospacing="1"/>
      <w:jc w:val="left"/>
    </w:pPr>
    <w:rPr>
      <w:rFonts w:ascii="宋体" w:hAnsi="宋体" w:eastAsia="宋体" w:cs="宋体"/>
      <w:kern w:val="0"/>
      <w:sz w:val="24"/>
      <w:szCs w:val="24"/>
    </w:rPr>
  </w:style>
  <w:style w:type="paragraph" w:customStyle="1" w:styleId="60">
    <w:name w:val="hdjl_main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1">
    <w:name w:val="hd_zjdiv01"/>
    <w:basedOn w:val="1"/>
    <w:qFormat/>
    <w:uiPriority w:val="0"/>
    <w:pPr>
      <w:widowControl/>
      <w:pBdr>
        <w:bottom w:val="dashed" w:color="EBEBEB" w:sz="6" w:space="0"/>
        <w:right w:val="dashed" w:color="EBEBEB" w:sz="6" w:space="0"/>
      </w:pBdr>
      <w:spacing w:before="255" w:after="100" w:afterAutospacing="1"/>
      <w:ind w:left="300"/>
      <w:jc w:val="left"/>
    </w:pPr>
    <w:rPr>
      <w:rFonts w:ascii="宋体" w:hAnsi="宋体" w:eastAsia="宋体" w:cs="宋体"/>
      <w:kern w:val="0"/>
      <w:sz w:val="24"/>
      <w:szCs w:val="24"/>
    </w:rPr>
  </w:style>
  <w:style w:type="paragraph" w:customStyle="1" w:styleId="62">
    <w:name w:val="hd_zjdiv02"/>
    <w:basedOn w:val="1"/>
    <w:qFormat/>
    <w:uiPriority w:val="0"/>
    <w:pPr>
      <w:widowControl/>
      <w:pBdr>
        <w:bottom w:val="dashed" w:color="EBEBEB" w:sz="6" w:space="0"/>
      </w:pBdr>
      <w:spacing w:before="255" w:after="100" w:afterAutospacing="1"/>
      <w:jc w:val="left"/>
    </w:pPr>
    <w:rPr>
      <w:rFonts w:ascii="宋体" w:hAnsi="宋体" w:eastAsia="宋体" w:cs="宋体"/>
      <w:kern w:val="0"/>
      <w:sz w:val="24"/>
      <w:szCs w:val="24"/>
    </w:rPr>
  </w:style>
  <w:style w:type="paragraph" w:customStyle="1" w:styleId="63">
    <w:name w:val="hd_zjdiv03"/>
    <w:basedOn w:val="1"/>
    <w:qFormat/>
    <w:uiPriority w:val="0"/>
    <w:pPr>
      <w:widowControl/>
      <w:pBdr>
        <w:right w:val="dashed" w:color="EBEBEB" w:sz="6" w:space="0"/>
      </w:pBdr>
      <w:spacing w:before="100" w:beforeAutospacing="1" w:after="100" w:afterAutospacing="1"/>
      <w:ind w:left="300"/>
      <w:jc w:val="left"/>
    </w:pPr>
    <w:rPr>
      <w:rFonts w:ascii="宋体" w:hAnsi="宋体" w:eastAsia="宋体" w:cs="宋体"/>
      <w:kern w:val="0"/>
      <w:sz w:val="24"/>
      <w:szCs w:val="24"/>
    </w:rPr>
  </w:style>
  <w:style w:type="paragraph" w:customStyle="1" w:styleId="64">
    <w:name w:val="hd_zjdiv0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5">
    <w:name w:val="main_content"/>
    <w:basedOn w:val="1"/>
    <w:qFormat/>
    <w:uiPriority w:val="0"/>
    <w:pPr>
      <w:widowControl/>
      <w:pBdr>
        <w:top w:val="single" w:color="1A5DB1" w:sz="18" w:space="26"/>
        <w:left w:val="single" w:color="E5E5E5" w:sz="18" w:space="16"/>
        <w:bottom w:val="single" w:color="E5E5E5" w:sz="18" w:space="26"/>
        <w:right w:val="single" w:color="E5E5E5" w:sz="18" w:space="16"/>
      </w:pBdr>
      <w:spacing w:before="150" w:after="100" w:afterAutospacing="1"/>
      <w:jc w:val="left"/>
    </w:pPr>
    <w:rPr>
      <w:rFonts w:ascii="宋体" w:hAnsi="宋体" w:eastAsia="宋体" w:cs="宋体"/>
      <w:kern w:val="0"/>
      <w:sz w:val="24"/>
      <w:szCs w:val="24"/>
    </w:rPr>
  </w:style>
  <w:style w:type="paragraph" w:customStyle="1" w:styleId="66">
    <w:name w:val="xxgk_top_frame"/>
    <w:basedOn w:val="1"/>
    <w:qFormat/>
    <w:uiPriority w:val="0"/>
    <w:pPr>
      <w:widowControl/>
      <w:pBdr>
        <w:top w:val="single" w:color="CCCCCC" w:sz="6" w:space="0"/>
        <w:left w:val="single" w:color="CCCCCC" w:sz="6" w:space="0"/>
        <w:bottom w:val="single" w:color="CCCCCC" w:sz="6" w:space="0"/>
        <w:right w:val="single" w:color="CCCCCC" w:sz="6" w:space="0"/>
      </w:pBdr>
      <w:jc w:val="left"/>
    </w:pPr>
    <w:rPr>
      <w:rFonts w:ascii="宋体" w:hAnsi="宋体" w:eastAsia="宋体" w:cs="宋体"/>
      <w:kern w:val="0"/>
      <w:sz w:val="24"/>
      <w:szCs w:val="24"/>
    </w:rPr>
  </w:style>
  <w:style w:type="paragraph" w:customStyle="1" w:styleId="67">
    <w:name w:val="jgld_leader"/>
    <w:basedOn w:val="1"/>
    <w:qFormat/>
    <w:uiPriority w:val="0"/>
    <w:pPr>
      <w:widowControl/>
      <w:pBdr>
        <w:bottom w:val="single" w:color="E5E5E5" w:sz="6" w:space="0"/>
      </w:pBdr>
      <w:shd w:val="clear" w:color="auto" w:fill="F8F8F8"/>
      <w:spacing w:before="300" w:after="300"/>
      <w:jc w:val="left"/>
    </w:pPr>
    <w:rPr>
      <w:rFonts w:ascii="宋体" w:hAnsi="宋体" w:eastAsia="宋体" w:cs="宋体"/>
      <w:kern w:val="0"/>
      <w:sz w:val="24"/>
      <w:szCs w:val="24"/>
    </w:rPr>
  </w:style>
  <w:style w:type="paragraph" w:customStyle="1" w:styleId="68">
    <w:name w:val="leader_grjj"/>
    <w:basedOn w:val="1"/>
    <w:qFormat/>
    <w:uiPriority w:val="0"/>
    <w:pPr>
      <w:widowControl/>
      <w:spacing w:before="300" w:after="300"/>
      <w:jc w:val="left"/>
    </w:pPr>
    <w:rPr>
      <w:rFonts w:ascii="宋体" w:hAnsi="宋体" w:eastAsia="宋体" w:cs="宋体"/>
      <w:kern w:val="0"/>
      <w:sz w:val="24"/>
      <w:szCs w:val="24"/>
    </w:rPr>
  </w:style>
  <w:style w:type="paragraph" w:customStyle="1" w:styleId="69">
    <w:name w:val="page"/>
    <w:basedOn w:val="1"/>
    <w:qFormat/>
    <w:uiPriority w:val="0"/>
    <w:pPr>
      <w:widowControl/>
      <w:spacing w:before="375" w:after="375"/>
      <w:jc w:val="left"/>
    </w:pPr>
    <w:rPr>
      <w:rFonts w:ascii="宋体" w:hAnsi="宋体" w:eastAsia="宋体" w:cs="宋体"/>
      <w:kern w:val="0"/>
      <w:sz w:val="24"/>
      <w:szCs w:val="24"/>
    </w:rPr>
  </w:style>
  <w:style w:type="paragraph" w:customStyle="1" w:styleId="70">
    <w:name w:val="share-icon"/>
    <w:basedOn w:val="1"/>
    <w:qFormat/>
    <w:uiPriority w:val="0"/>
    <w:pPr>
      <w:widowControl/>
      <w:spacing w:before="100" w:beforeAutospacing="1" w:after="100" w:afterAutospacing="1" w:line="360" w:lineRule="atLeast"/>
      <w:jc w:val="left"/>
    </w:pPr>
    <w:rPr>
      <w:rFonts w:ascii="宋体" w:hAnsi="宋体" w:eastAsia="宋体" w:cs="宋体"/>
      <w:kern w:val="0"/>
      <w:sz w:val="24"/>
      <w:szCs w:val="24"/>
    </w:rPr>
  </w:style>
  <w:style w:type="paragraph" w:customStyle="1" w:styleId="71">
    <w:name w:val="share-bo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2">
    <w:name w:val="share-popup"/>
    <w:basedOn w:val="1"/>
    <w:qFormat/>
    <w:uiPriority w:val="0"/>
    <w:pPr>
      <w:widowControl/>
      <w:pBdr>
        <w:top w:val="single" w:color="E9E9E9" w:sz="6" w:space="0"/>
        <w:left w:val="single" w:color="E9E9E9" w:sz="6" w:space="0"/>
        <w:bottom w:val="single" w:color="E9E9E9" w:sz="6" w:space="0"/>
        <w:right w:val="single" w:color="E9E9E9" w:sz="6" w:space="0"/>
      </w:pBdr>
      <w:spacing w:before="100" w:beforeAutospacing="1" w:after="100" w:afterAutospacing="1"/>
      <w:jc w:val="left"/>
    </w:pPr>
    <w:rPr>
      <w:rFonts w:ascii="宋体" w:hAnsi="宋体" w:eastAsia="宋体" w:cs="宋体"/>
      <w:vanish/>
      <w:kern w:val="0"/>
      <w:sz w:val="24"/>
      <w:szCs w:val="24"/>
    </w:rPr>
  </w:style>
  <w:style w:type="paragraph" w:customStyle="1" w:styleId="73">
    <w:name w:val="comm_toplink"/>
    <w:basedOn w:val="1"/>
    <w:qFormat/>
    <w:uiPriority w:val="0"/>
    <w:pPr>
      <w:widowControl/>
      <w:spacing w:before="100" w:beforeAutospacing="1" w:after="100" w:afterAutospacing="1" w:line="450" w:lineRule="atLeast"/>
      <w:jc w:val="left"/>
    </w:pPr>
    <w:rPr>
      <w:rFonts w:ascii="微软雅黑" w:hAnsi="微软雅黑" w:eastAsia="宋体" w:cs="宋体"/>
      <w:color w:val="FFFFFF"/>
      <w:kern w:val="0"/>
      <w:sz w:val="18"/>
      <w:szCs w:val="18"/>
    </w:rPr>
  </w:style>
  <w:style w:type="paragraph" w:customStyle="1" w:styleId="74">
    <w:name w:val="h-login"/>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75">
    <w:name w:val="login-box"/>
    <w:basedOn w:val="1"/>
    <w:qFormat/>
    <w:uiPriority w:val="0"/>
    <w:pPr>
      <w:widowControl/>
      <w:ind w:left="-4950"/>
      <w:jc w:val="left"/>
    </w:pPr>
    <w:rPr>
      <w:rFonts w:ascii="宋体" w:hAnsi="宋体" w:eastAsia="宋体" w:cs="宋体"/>
      <w:kern w:val="0"/>
      <w:sz w:val="24"/>
      <w:szCs w:val="24"/>
    </w:rPr>
  </w:style>
  <w:style w:type="paragraph" w:customStyle="1" w:styleId="76">
    <w:name w:val="login-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
    <w:name w:val="login-b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8">
    <w:name w:val="login-con"/>
    <w:basedOn w:val="1"/>
    <w:qFormat/>
    <w:uiPriority w:val="0"/>
    <w:pPr>
      <w:widowControl/>
      <w:shd w:val="clear" w:color="auto" w:fill="EEEEEE"/>
      <w:spacing w:before="100" w:beforeAutospacing="1" w:after="100" w:afterAutospacing="1"/>
      <w:jc w:val="left"/>
    </w:pPr>
    <w:rPr>
      <w:rFonts w:ascii="宋体" w:hAnsi="宋体" w:eastAsia="宋体" w:cs="宋体"/>
      <w:kern w:val="0"/>
      <w:sz w:val="24"/>
      <w:szCs w:val="24"/>
    </w:rPr>
  </w:style>
  <w:style w:type="paragraph" w:customStyle="1" w:styleId="79">
    <w:name w:val="login-other"/>
    <w:basedOn w:val="1"/>
    <w:qFormat/>
    <w:uiPriority w:val="0"/>
    <w:pPr>
      <w:widowControl/>
      <w:spacing w:before="450" w:after="100" w:afterAutospacing="1"/>
      <w:jc w:val="left"/>
    </w:pPr>
    <w:rPr>
      <w:rFonts w:ascii="宋体" w:hAnsi="宋体" w:eastAsia="宋体" w:cs="宋体"/>
      <w:kern w:val="0"/>
      <w:sz w:val="24"/>
      <w:szCs w:val="24"/>
    </w:rPr>
  </w:style>
  <w:style w:type="paragraph" w:customStyle="1" w:styleId="80">
    <w:name w:val="hj-easyread-smoothtips"/>
    <w:basedOn w:val="1"/>
    <w:qFormat/>
    <w:uiPriority w:val="0"/>
    <w:pPr>
      <w:widowControl/>
      <w:shd w:val="clear" w:color="auto" w:fill="DEDEDE"/>
      <w:spacing w:before="100" w:beforeAutospacing="1" w:after="100" w:afterAutospacing="1"/>
      <w:jc w:val="left"/>
    </w:pPr>
    <w:rPr>
      <w:rFonts w:ascii="宋体" w:hAnsi="宋体" w:eastAsia="宋体" w:cs="宋体"/>
      <w:kern w:val="0"/>
      <w:sz w:val="24"/>
      <w:szCs w:val="24"/>
    </w:rPr>
  </w:style>
  <w:style w:type="paragraph" w:customStyle="1" w:styleId="81">
    <w:name w:val="hj-easyread-container"/>
    <w:basedOn w:val="1"/>
    <w:qFormat/>
    <w:uiPriority w:val="0"/>
    <w:pPr>
      <w:widowControl/>
      <w:spacing w:before="100" w:beforeAutospacing="1" w:after="100" w:afterAutospacing="1"/>
      <w:ind w:left="8700"/>
      <w:jc w:val="left"/>
    </w:pPr>
    <w:rPr>
      <w:rFonts w:ascii="宋体" w:hAnsi="宋体" w:eastAsia="宋体" w:cs="宋体"/>
      <w:kern w:val="0"/>
      <w:sz w:val="24"/>
      <w:szCs w:val="24"/>
    </w:rPr>
  </w:style>
  <w:style w:type="paragraph" w:customStyle="1" w:styleId="82">
    <w:name w:val="log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3">
    <w:name w:val="searc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
    <w:name w:val="lin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
    <w:name w:val="gov_ic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
    <w:name w:val="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
    <w:name w:val="bloc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
    <w:name w:val="h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
    <w:name w:val="b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
    <w:name w:val="q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
    <w:name w:val="inf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
    <w:name w:val="serv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
    <w:name w:val="pathdi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
    <w:name w:val="syico"/>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
    <w:name w:val="pi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
    <w:name w:val="lea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
    <w:name w:val="hdjl_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
    <w:name w:val="hd_wyx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
    <w:name w:val="hdjl_main_ri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
    <w:name w:val="main_con_f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
    <w:name w:val="main_con_z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
    <w:name w:val="mian_con_foo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
    <w:name w:val="jgld_leader_pi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4">
    <w:name w:val="jdld_leader_righ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5">
    <w:name w:val="n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6">
    <w:name w:val="pageselec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
    <w:name w:val="gwds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8">
    <w:name w:val="smooth-lf"/>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9">
    <w:name w:val="smoot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0">
    <w:name w:val="w98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1">
    <w:name w:val="smooth-bo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2">
    <w:name w:val="tipscontrol-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
    <w:name w:val="wechat-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
    <w:name w:val="tipssearch-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
    <w:name w:val="tipscitys-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
    <w:name w:val="returntotop-bt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
    <w:name w:val="hj-easyread-icon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8">
    <w:name w:val="trffi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
    <w:name w:val="dispos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
    <w:name w:val="undispos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1">
    <w:name w:val="li0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2">
    <w:name w:val="li0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3">
    <w:name w:val="t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4">
    <w:name w:val="dat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5">
    <w:name w:val="pre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6">
    <w:name w:val="work_flo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7">
    <w:name w:val="lett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
    <w:name w:val="hd_ldx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9">
    <w:name w:val="hd_zjd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
    <w:name w:val="hd_xjcx"/>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1">
    <w:name w:val="hdjl_more"/>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2">
    <w:name w:val="jdld_leader_ti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3">
    <w:name w:val="jdld_leader_zw"/>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4">
    <w:name w:val="jdld_leader_zw&gt;spa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5">
    <w:name w:val="jdld_leader_zw&gt;div"/>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6">
    <w:name w:val="xjcx_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7">
    <w:name w:val="xjcx_su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8">
    <w:name w:val="topsystem_inn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9">
    <w:name w:val="midsystem_inn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0">
    <w:name w:val="hj-easyread-sider-btns-item"/>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1">
    <w:name w:val="dropselect_box"/>
    <w:basedOn w:val="12"/>
    <w:qFormat/>
    <w:uiPriority w:val="0"/>
  </w:style>
  <w:style w:type="character" w:customStyle="1" w:styleId="142">
    <w:name w:val="ywxt"/>
    <w:basedOn w:val="12"/>
    <w:qFormat/>
    <w:uiPriority w:val="0"/>
  </w:style>
  <w:style w:type="character" w:customStyle="1" w:styleId="143">
    <w:name w:val="selc"/>
    <w:basedOn w:val="12"/>
    <w:qFormat/>
    <w:uiPriority w:val="0"/>
  </w:style>
  <w:style w:type="character" w:customStyle="1" w:styleId="144">
    <w:name w:val="down"/>
    <w:basedOn w:val="12"/>
    <w:qFormat/>
    <w:uiPriority w:val="0"/>
  </w:style>
  <w:style w:type="character" w:customStyle="1" w:styleId="145">
    <w:name w:val="revert"/>
    <w:basedOn w:val="12"/>
    <w:qFormat/>
    <w:uiPriority w:val="0"/>
  </w:style>
  <w:style w:type="character" w:customStyle="1" w:styleId="146">
    <w:name w:val="noproc"/>
    <w:basedOn w:val="12"/>
    <w:qFormat/>
    <w:uiPriority w:val="0"/>
  </w:style>
  <w:style w:type="character" w:customStyle="1" w:styleId="147">
    <w:name w:val="hj-easyread-speakerprocesser-position-action-icon"/>
    <w:basedOn w:val="12"/>
    <w:qFormat/>
    <w:uiPriority w:val="0"/>
  </w:style>
  <w:style w:type="paragraph" w:customStyle="1" w:styleId="148">
    <w:name w:val="logo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9">
    <w:name w:val="search1"/>
    <w:basedOn w:val="1"/>
    <w:qFormat/>
    <w:uiPriority w:val="0"/>
    <w:pPr>
      <w:widowControl/>
      <w:pBdr>
        <w:top w:val="single" w:color="569AD4" w:sz="12" w:space="0"/>
        <w:left w:val="single" w:color="569AD4" w:sz="12" w:space="0"/>
        <w:bottom w:val="single" w:color="569AD4" w:sz="12" w:space="0"/>
        <w:right w:val="single" w:color="569AD4" w:sz="12" w:space="0"/>
      </w:pBdr>
      <w:spacing w:before="1080" w:after="100" w:afterAutospacing="1"/>
      <w:jc w:val="left"/>
    </w:pPr>
    <w:rPr>
      <w:rFonts w:ascii="宋体" w:hAnsi="宋体" w:eastAsia="宋体" w:cs="宋体"/>
      <w:kern w:val="0"/>
      <w:sz w:val="24"/>
      <w:szCs w:val="24"/>
    </w:rPr>
  </w:style>
  <w:style w:type="character" w:customStyle="1" w:styleId="150">
    <w:name w:val="dropselect_box1"/>
    <w:basedOn w:val="12"/>
    <w:qFormat/>
    <w:uiPriority w:val="0"/>
  </w:style>
  <w:style w:type="paragraph" w:customStyle="1" w:styleId="151">
    <w:name w:val="link1"/>
    <w:basedOn w:val="1"/>
    <w:qFormat/>
    <w:uiPriority w:val="0"/>
    <w:pPr>
      <w:widowControl/>
      <w:spacing w:before="100" w:beforeAutospacing="1" w:after="100" w:afterAutospacing="1"/>
      <w:ind w:right="120"/>
      <w:jc w:val="left"/>
    </w:pPr>
    <w:rPr>
      <w:rFonts w:ascii="宋体" w:hAnsi="宋体" w:eastAsia="宋体" w:cs="宋体"/>
      <w:color w:val="FFFFFF"/>
      <w:kern w:val="0"/>
      <w:sz w:val="24"/>
      <w:szCs w:val="24"/>
    </w:rPr>
  </w:style>
  <w:style w:type="paragraph" w:customStyle="1" w:styleId="152">
    <w:name w:val="link2"/>
    <w:basedOn w:val="1"/>
    <w:qFormat/>
    <w:uiPriority w:val="0"/>
    <w:pPr>
      <w:widowControl/>
      <w:spacing w:before="100" w:beforeAutospacing="1" w:after="100" w:afterAutospacing="1"/>
      <w:ind w:right="120"/>
      <w:jc w:val="left"/>
    </w:pPr>
    <w:rPr>
      <w:rFonts w:ascii="宋体" w:hAnsi="宋体" w:eastAsia="宋体" w:cs="宋体"/>
      <w:color w:val="FFFFFF"/>
      <w:kern w:val="0"/>
      <w:sz w:val="24"/>
      <w:szCs w:val="24"/>
      <w:u w:val="single"/>
    </w:rPr>
  </w:style>
  <w:style w:type="character" w:customStyle="1" w:styleId="153">
    <w:name w:val="dropselect_box2"/>
    <w:basedOn w:val="12"/>
    <w:qFormat/>
    <w:uiPriority w:val="0"/>
  </w:style>
  <w:style w:type="paragraph" w:customStyle="1" w:styleId="154">
    <w:name w:val="gov_ico1"/>
    <w:basedOn w:val="1"/>
    <w:qFormat/>
    <w:uiPriority w:val="0"/>
    <w:pPr>
      <w:widowControl/>
      <w:pBdr>
        <w:left w:val="single" w:color="D1D1D1" w:sz="6" w:space="26"/>
      </w:pBdr>
      <w:spacing w:before="480" w:after="100" w:afterAutospacing="1" w:line="480" w:lineRule="atLeast"/>
      <w:ind w:right="450"/>
      <w:jc w:val="left"/>
    </w:pPr>
    <w:rPr>
      <w:rFonts w:ascii="宋体" w:hAnsi="宋体" w:eastAsia="宋体" w:cs="宋体"/>
      <w:color w:val="4C4C4C"/>
      <w:kern w:val="0"/>
      <w:szCs w:val="21"/>
    </w:rPr>
  </w:style>
  <w:style w:type="paragraph" w:customStyle="1" w:styleId="155">
    <w:name w:val="trffic1"/>
    <w:basedOn w:val="1"/>
    <w:qFormat/>
    <w:uiPriority w:val="0"/>
    <w:pPr>
      <w:widowControl/>
      <w:pBdr>
        <w:left w:val="single" w:color="D1D1D1" w:sz="6" w:space="26"/>
      </w:pBdr>
      <w:shd w:val="clear" w:color="auto" w:fill="1A5DB1"/>
      <w:spacing w:before="480" w:after="100" w:afterAutospacing="1" w:line="300" w:lineRule="atLeast"/>
      <w:ind w:left="150"/>
      <w:jc w:val="left"/>
    </w:pPr>
    <w:rPr>
      <w:rFonts w:ascii="宋体" w:hAnsi="宋体" w:eastAsia="宋体" w:cs="宋体"/>
      <w:color w:val="FFFFFF"/>
      <w:kern w:val="0"/>
      <w:sz w:val="18"/>
      <w:szCs w:val="18"/>
    </w:rPr>
  </w:style>
  <w:style w:type="paragraph" w:customStyle="1" w:styleId="156">
    <w:name w:val="bdnone1"/>
    <w:basedOn w:val="1"/>
    <w:qFormat/>
    <w:uiPriority w:val="0"/>
    <w:pPr>
      <w:widowControl/>
      <w:spacing w:before="480" w:after="100" w:afterAutospacing="1" w:line="480" w:lineRule="atLeast"/>
      <w:jc w:val="left"/>
    </w:pPr>
    <w:rPr>
      <w:rFonts w:ascii="宋体" w:hAnsi="宋体" w:eastAsia="宋体" w:cs="宋体"/>
      <w:color w:val="4C4C4C"/>
      <w:kern w:val="0"/>
      <w:szCs w:val="21"/>
    </w:rPr>
  </w:style>
  <w:style w:type="paragraph" w:customStyle="1" w:styleId="157">
    <w:name w:val="more1"/>
    <w:basedOn w:val="1"/>
    <w:qFormat/>
    <w:uiPriority w:val="0"/>
    <w:pPr>
      <w:widowControl/>
      <w:spacing w:before="100" w:beforeAutospacing="1" w:after="100" w:afterAutospacing="1" w:line="600" w:lineRule="atLeast"/>
      <w:jc w:val="left"/>
    </w:pPr>
    <w:rPr>
      <w:rFonts w:ascii="宋体" w:hAnsi="宋体" w:eastAsia="宋体" w:cs="宋体"/>
      <w:vanish/>
      <w:color w:val="484848"/>
      <w:kern w:val="0"/>
      <w:sz w:val="24"/>
      <w:szCs w:val="24"/>
    </w:rPr>
  </w:style>
  <w:style w:type="paragraph" w:customStyle="1" w:styleId="158">
    <w:name w:val="more2"/>
    <w:basedOn w:val="1"/>
    <w:qFormat/>
    <w:uiPriority w:val="0"/>
    <w:pPr>
      <w:widowControl/>
      <w:spacing w:before="100" w:beforeAutospacing="1" w:after="100" w:afterAutospacing="1" w:line="600" w:lineRule="atLeast"/>
      <w:jc w:val="left"/>
    </w:pPr>
    <w:rPr>
      <w:rFonts w:ascii="宋体" w:hAnsi="宋体" w:eastAsia="宋体" w:cs="宋体"/>
      <w:vanish/>
      <w:color w:val="3479BB"/>
      <w:kern w:val="0"/>
      <w:sz w:val="24"/>
      <w:szCs w:val="24"/>
    </w:rPr>
  </w:style>
  <w:style w:type="paragraph" w:customStyle="1" w:styleId="159">
    <w:name w:val="block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0">
    <w:name w:val="date1"/>
    <w:basedOn w:val="1"/>
    <w:qFormat/>
    <w:uiPriority w:val="0"/>
    <w:pPr>
      <w:widowControl/>
      <w:spacing w:before="100" w:beforeAutospacing="1" w:after="100" w:afterAutospacing="1"/>
      <w:jc w:val="left"/>
    </w:pPr>
    <w:rPr>
      <w:rFonts w:ascii="宋体" w:hAnsi="宋体" w:eastAsia="宋体" w:cs="宋体"/>
      <w:color w:val="BFC0C0"/>
      <w:kern w:val="0"/>
      <w:sz w:val="18"/>
      <w:szCs w:val="18"/>
    </w:rPr>
  </w:style>
  <w:style w:type="paragraph" w:customStyle="1" w:styleId="161">
    <w:name w:val="hd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2">
    <w:name w:val="bd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3">
    <w:name w:val="prev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next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5">
    <w:name w:val="bd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6">
    <w:name w:val="qd1"/>
    <w:basedOn w:val="1"/>
    <w:qFormat/>
    <w:uiPriority w:val="0"/>
    <w:pPr>
      <w:widowControl/>
      <w:pBdr>
        <w:top w:val="single" w:color="D1D1D1" w:sz="6" w:space="2"/>
        <w:left w:val="single" w:color="D1D1D1" w:sz="6" w:space="8"/>
        <w:bottom w:val="single" w:color="D1D1D1" w:sz="6" w:space="2"/>
        <w:right w:val="single" w:color="D1D1D1" w:sz="6" w:space="0"/>
      </w:pBdr>
      <w:spacing w:before="150" w:after="100" w:afterAutospacing="1"/>
      <w:jc w:val="left"/>
    </w:pPr>
    <w:rPr>
      <w:rFonts w:ascii="宋体" w:hAnsi="宋体" w:eastAsia="宋体" w:cs="宋体"/>
      <w:kern w:val="0"/>
      <w:sz w:val="24"/>
      <w:szCs w:val="24"/>
    </w:rPr>
  </w:style>
  <w:style w:type="paragraph" w:customStyle="1" w:styleId="167">
    <w:name w:val="info1"/>
    <w:basedOn w:val="1"/>
    <w:qFormat/>
    <w:uiPriority w:val="0"/>
    <w:pPr>
      <w:widowControl/>
      <w:pBdr>
        <w:bottom w:val="dashed" w:color="E3E3E3" w:sz="6" w:space="8"/>
      </w:pBdr>
      <w:spacing w:before="100" w:beforeAutospacing="1" w:after="100" w:afterAutospacing="1"/>
      <w:jc w:val="left"/>
    </w:pPr>
    <w:rPr>
      <w:rFonts w:ascii="宋体" w:hAnsi="宋体" w:eastAsia="宋体" w:cs="宋体"/>
      <w:kern w:val="0"/>
      <w:sz w:val="24"/>
      <w:szCs w:val="24"/>
    </w:rPr>
  </w:style>
  <w:style w:type="paragraph" w:customStyle="1" w:styleId="168">
    <w:name w:val="work_flow1"/>
    <w:basedOn w:val="1"/>
    <w:qFormat/>
    <w:uiPriority w:val="0"/>
    <w:pPr>
      <w:widowControl/>
      <w:pBdr>
        <w:top w:val="single" w:color="484848" w:sz="18" w:space="0"/>
        <w:bottom w:val="single" w:color="484848" w:sz="6" w:space="0"/>
      </w:pBdr>
      <w:shd w:val="clear" w:color="auto" w:fill="F0F0F0"/>
      <w:spacing w:before="180" w:after="180" w:line="525" w:lineRule="atLeast"/>
      <w:jc w:val="left"/>
    </w:pPr>
    <w:rPr>
      <w:rFonts w:ascii="宋体" w:hAnsi="宋体" w:eastAsia="宋体" w:cs="宋体"/>
      <w:vanish/>
      <w:color w:val="1A5DB1"/>
      <w:kern w:val="0"/>
      <w:sz w:val="24"/>
      <w:szCs w:val="24"/>
    </w:rPr>
  </w:style>
  <w:style w:type="paragraph" w:customStyle="1" w:styleId="169">
    <w:name w:val="serve1"/>
    <w:basedOn w:val="1"/>
    <w:qFormat/>
    <w:uiPriority w:val="0"/>
    <w:pPr>
      <w:widowControl/>
      <w:spacing w:before="300" w:after="100" w:afterAutospacing="1"/>
      <w:jc w:val="left"/>
    </w:pPr>
    <w:rPr>
      <w:rFonts w:ascii="宋体" w:hAnsi="宋体" w:eastAsia="宋体" w:cs="宋体"/>
      <w:kern w:val="0"/>
      <w:sz w:val="24"/>
      <w:szCs w:val="24"/>
    </w:rPr>
  </w:style>
  <w:style w:type="character" w:customStyle="1" w:styleId="170">
    <w:name w:val="ywxt1"/>
    <w:basedOn w:val="12"/>
    <w:qFormat/>
    <w:uiPriority w:val="0"/>
  </w:style>
  <w:style w:type="character" w:customStyle="1" w:styleId="171">
    <w:name w:val="selc1"/>
    <w:basedOn w:val="12"/>
    <w:qFormat/>
    <w:uiPriority w:val="0"/>
  </w:style>
  <w:style w:type="character" w:customStyle="1" w:styleId="172">
    <w:name w:val="down1"/>
    <w:basedOn w:val="12"/>
    <w:qFormat/>
    <w:uiPriority w:val="0"/>
  </w:style>
  <w:style w:type="character" w:customStyle="1" w:styleId="173">
    <w:name w:val="revert1"/>
    <w:basedOn w:val="12"/>
    <w:qFormat/>
    <w:uiPriority w:val="0"/>
    <w:rPr>
      <w:color w:val="FFFFFF"/>
      <w:shd w:val="clear" w:color="auto" w:fill="41AB8C"/>
    </w:rPr>
  </w:style>
  <w:style w:type="character" w:customStyle="1" w:styleId="174">
    <w:name w:val="noproc1"/>
    <w:basedOn w:val="12"/>
    <w:qFormat/>
    <w:uiPriority w:val="0"/>
    <w:rPr>
      <w:color w:val="FFFFFF"/>
      <w:shd w:val="clear" w:color="auto" w:fill="A8B2AF"/>
    </w:rPr>
  </w:style>
  <w:style w:type="paragraph" w:customStyle="1" w:styleId="175">
    <w:name w:val="letter1"/>
    <w:basedOn w:val="1"/>
    <w:qFormat/>
    <w:uiPriority w:val="0"/>
    <w:pPr>
      <w:widowControl/>
      <w:shd w:val="clear" w:color="auto" w:fill="DEE6F0"/>
      <w:spacing w:before="285" w:after="100" w:afterAutospacing="1" w:line="540" w:lineRule="atLeast"/>
      <w:jc w:val="center"/>
    </w:pPr>
    <w:rPr>
      <w:rFonts w:ascii="宋体" w:hAnsi="宋体" w:eastAsia="宋体" w:cs="宋体"/>
      <w:kern w:val="0"/>
      <w:szCs w:val="21"/>
    </w:rPr>
  </w:style>
  <w:style w:type="paragraph" w:customStyle="1" w:styleId="176">
    <w:name w:val="pathdiv1"/>
    <w:basedOn w:val="1"/>
    <w:qFormat/>
    <w:uiPriority w:val="0"/>
    <w:pPr>
      <w:widowControl/>
      <w:spacing w:before="100" w:beforeAutospacing="1" w:after="100" w:afterAutospacing="1"/>
      <w:jc w:val="left"/>
    </w:pPr>
    <w:rPr>
      <w:rFonts w:ascii="宋体" w:hAnsi="宋体" w:eastAsia="宋体" w:cs="宋体"/>
      <w:kern w:val="0"/>
      <w:szCs w:val="21"/>
    </w:rPr>
  </w:style>
  <w:style w:type="paragraph" w:customStyle="1" w:styleId="177">
    <w:name w:val="syico1"/>
    <w:basedOn w:val="1"/>
    <w:qFormat/>
    <w:uiPriority w:val="0"/>
    <w:pPr>
      <w:widowControl/>
      <w:spacing w:before="100" w:beforeAutospacing="1" w:after="100" w:afterAutospacing="1"/>
      <w:ind w:left="300"/>
      <w:jc w:val="left"/>
    </w:pPr>
    <w:rPr>
      <w:rFonts w:ascii="宋体" w:hAnsi="宋体" w:eastAsia="宋体" w:cs="宋体"/>
      <w:kern w:val="0"/>
      <w:sz w:val="24"/>
      <w:szCs w:val="24"/>
    </w:rPr>
  </w:style>
  <w:style w:type="paragraph" w:customStyle="1" w:styleId="178">
    <w:name w:val="pic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79">
    <w:name w:val="info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0">
    <w:name w:val="lea_more1"/>
    <w:basedOn w:val="1"/>
    <w:qFormat/>
    <w:uiPriority w:val="0"/>
    <w:pPr>
      <w:widowControl/>
      <w:shd w:val="clear" w:color="auto" w:fill="EAEAEA"/>
      <w:spacing w:before="225" w:after="100" w:afterAutospacing="1" w:line="525" w:lineRule="atLeast"/>
      <w:jc w:val="center"/>
    </w:pPr>
    <w:rPr>
      <w:rFonts w:ascii="宋体" w:hAnsi="宋体" w:eastAsia="宋体" w:cs="宋体"/>
      <w:kern w:val="0"/>
      <w:szCs w:val="21"/>
    </w:rPr>
  </w:style>
  <w:style w:type="paragraph" w:customStyle="1" w:styleId="181">
    <w:name w:val="dispose1"/>
    <w:basedOn w:val="1"/>
    <w:qFormat/>
    <w:uiPriority w:val="0"/>
    <w:pPr>
      <w:widowControl/>
      <w:spacing w:before="100" w:beforeAutospacing="1" w:after="100" w:afterAutospacing="1"/>
      <w:jc w:val="left"/>
    </w:pPr>
    <w:rPr>
      <w:rFonts w:ascii="宋体" w:hAnsi="宋体" w:eastAsia="宋体" w:cs="宋体"/>
      <w:color w:val="999999"/>
      <w:kern w:val="0"/>
      <w:sz w:val="24"/>
      <w:szCs w:val="24"/>
    </w:rPr>
  </w:style>
  <w:style w:type="paragraph" w:customStyle="1" w:styleId="182">
    <w:name w:val="undispose1"/>
    <w:basedOn w:val="1"/>
    <w:qFormat/>
    <w:uiPriority w:val="0"/>
    <w:pPr>
      <w:widowControl/>
      <w:spacing w:before="100" w:beforeAutospacing="1" w:after="100" w:afterAutospacing="1"/>
      <w:jc w:val="left"/>
    </w:pPr>
    <w:rPr>
      <w:rFonts w:ascii="宋体" w:hAnsi="宋体" w:eastAsia="宋体" w:cs="宋体"/>
      <w:color w:val="008567"/>
      <w:kern w:val="0"/>
      <w:sz w:val="24"/>
      <w:szCs w:val="24"/>
    </w:rPr>
  </w:style>
  <w:style w:type="paragraph" w:customStyle="1" w:styleId="183">
    <w:name w:val="hdjl_tit1"/>
    <w:basedOn w:val="1"/>
    <w:qFormat/>
    <w:uiPriority w:val="0"/>
    <w:pPr>
      <w:widowControl/>
      <w:pBdr>
        <w:bottom w:val="single" w:color="2E91D4" w:sz="12" w:space="0"/>
      </w:pBdr>
      <w:spacing w:before="100" w:beforeAutospacing="1" w:after="100" w:afterAutospacing="1"/>
      <w:jc w:val="left"/>
    </w:pPr>
    <w:rPr>
      <w:rFonts w:ascii="宋体" w:hAnsi="宋体" w:eastAsia="宋体" w:cs="宋体"/>
      <w:kern w:val="0"/>
      <w:sz w:val="24"/>
      <w:szCs w:val="24"/>
    </w:rPr>
  </w:style>
  <w:style w:type="paragraph" w:customStyle="1" w:styleId="184">
    <w:name w:val="hd_ldxx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5">
    <w:name w:val="hd_zjdc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hd_xjcx1"/>
    <w:basedOn w:val="1"/>
    <w:qFormat/>
    <w:uiPriority w:val="0"/>
    <w:pPr>
      <w:widowControl/>
      <w:spacing w:before="225" w:after="100" w:afterAutospacing="1"/>
      <w:jc w:val="left"/>
    </w:pPr>
    <w:rPr>
      <w:rFonts w:ascii="宋体" w:hAnsi="宋体" w:eastAsia="宋体" w:cs="宋体"/>
      <w:kern w:val="0"/>
      <w:sz w:val="24"/>
      <w:szCs w:val="24"/>
    </w:rPr>
  </w:style>
  <w:style w:type="paragraph" w:customStyle="1" w:styleId="187">
    <w:name w:val="xjcx_text1"/>
    <w:basedOn w:val="1"/>
    <w:qFormat/>
    <w:uiPriority w:val="0"/>
    <w:pPr>
      <w:widowControl/>
      <w:pBdr>
        <w:top w:val="single" w:color="EBEBEB" w:sz="6" w:space="0"/>
        <w:left w:val="single" w:color="EBEBEB" w:sz="6" w:space="0"/>
        <w:bottom w:val="single" w:color="EBEBEB" w:sz="6" w:space="0"/>
        <w:right w:val="single" w:color="EBEBEB" w:sz="6" w:space="0"/>
      </w:pBdr>
      <w:spacing w:before="100" w:beforeAutospacing="1" w:after="100" w:afterAutospacing="1" w:line="570" w:lineRule="atLeast"/>
      <w:ind w:firstLine="195"/>
      <w:jc w:val="left"/>
    </w:pPr>
    <w:rPr>
      <w:rFonts w:ascii="宋体" w:hAnsi="宋体" w:eastAsia="宋体" w:cs="宋体"/>
      <w:color w:val="999999"/>
      <w:kern w:val="0"/>
      <w:szCs w:val="21"/>
    </w:rPr>
  </w:style>
  <w:style w:type="paragraph" w:customStyle="1" w:styleId="188">
    <w:name w:val="xjcx_sub1"/>
    <w:basedOn w:val="1"/>
    <w:qFormat/>
    <w:uiPriority w:val="0"/>
    <w:pPr>
      <w:widowControl/>
      <w:shd w:val="clear" w:color="auto" w:fill="2E91D4"/>
      <w:spacing w:before="100" w:beforeAutospacing="1" w:after="100" w:afterAutospacing="1"/>
      <w:jc w:val="left"/>
    </w:pPr>
    <w:rPr>
      <w:rFonts w:ascii="宋体" w:hAnsi="宋体" w:eastAsia="宋体" w:cs="宋体"/>
      <w:color w:val="FFFFFF"/>
      <w:kern w:val="0"/>
      <w:sz w:val="24"/>
      <w:szCs w:val="24"/>
    </w:rPr>
  </w:style>
  <w:style w:type="paragraph" w:customStyle="1" w:styleId="189">
    <w:name w:val="hd_wyxx1"/>
    <w:basedOn w:val="1"/>
    <w:qFormat/>
    <w:uiPriority w:val="0"/>
    <w:pPr>
      <w:widowControl/>
      <w:spacing w:before="100" w:beforeAutospacing="1" w:after="100" w:afterAutospacing="1" w:line="750" w:lineRule="atLeast"/>
      <w:jc w:val="left"/>
    </w:pPr>
    <w:rPr>
      <w:rFonts w:ascii="宋体" w:hAnsi="宋体" w:eastAsia="宋体" w:cs="宋体"/>
      <w:color w:val="FFFFFF"/>
      <w:kern w:val="0"/>
      <w:sz w:val="26"/>
      <w:szCs w:val="26"/>
    </w:rPr>
  </w:style>
  <w:style w:type="paragraph" w:customStyle="1" w:styleId="190">
    <w:name w:val="hdjl_main_ritit1"/>
    <w:basedOn w:val="1"/>
    <w:qFormat/>
    <w:uiPriority w:val="0"/>
    <w:pPr>
      <w:widowControl/>
      <w:shd w:val="clear" w:color="auto" w:fill="F1F5F9"/>
      <w:spacing w:before="100" w:beforeAutospacing="1" w:after="100" w:afterAutospacing="1" w:line="750" w:lineRule="atLeast"/>
      <w:jc w:val="left"/>
    </w:pPr>
    <w:rPr>
      <w:rFonts w:ascii="宋体" w:hAnsi="宋体" w:eastAsia="宋体" w:cs="宋体"/>
      <w:kern w:val="0"/>
      <w:sz w:val="24"/>
      <w:szCs w:val="24"/>
    </w:rPr>
  </w:style>
  <w:style w:type="paragraph" w:customStyle="1" w:styleId="191">
    <w:name w:val="hdjl_more1"/>
    <w:basedOn w:val="1"/>
    <w:qFormat/>
    <w:uiPriority w:val="0"/>
    <w:pPr>
      <w:widowControl/>
      <w:spacing w:before="100" w:beforeAutospacing="1" w:after="100" w:afterAutospacing="1"/>
      <w:ind w:right="255"/>
      <w:jc w:val="left"/>
    </w:pPr>
    <w:rPr>
      <w:rFonts w:ascii="宋体" w:hAnsi="宋体" w:eastAsia="宋体" w:cs="宋体"/>
      <w:color w:val="AAAAAA"/>
      <w:kern w:val="0"/>
      <w:sz w:val="18"/>
      <w:szCs w:val="18"/>
    </w:rPr>
  </w:style>
  <w:style w:type="paragraph" w:customStyle="1" w:styleId="192">
    <w:name w:val="main_con_ftit1"/>
    <w:basedOn w:val="1"/>
    <w:qFormat/>
    <w:uiPriority w:val="0"/>
    <w:pPr>
      <w:widowControl/>
      <w:shd w:val="clear" w:color="auto" w:fill="F8F8F8"/>
      <w:spacing w:before="100" w:beforeAutospacing="1" w:after="100" w:afterAutospacing="1" w:line="540" w:lineRule="atLeast"/>
      <w:jc w:val="left"/>
    </w:pPr>
    <w:rPr>
      <w:rFonts w:ascii="宋体" w:hAnsi="宋体" w:eastAsia="宋体" w:cs="宋体"/>
      <w:kern w:val="0"/>
      <w:sz w:val="24"/>
      <w:szCs w:val="24"/>
    </w:rPr>
  </w:style>
  <w:style w:type="paragraph" w:customStyle="1" w:styleId="193">
    <w:name w:val="main_con_zw1"/>
    <w:basedOn w:val="1"/>
    <w:qFormat/>
    <w:uiPriority w:val="0"/>
    <w:pPr>
      <w:widowControl/>
      <w:spacing w:before="600" w:after="100" w:afterAutospacing="1"/>
      <w:jc w:val="left"/>
    </w:pPr>
    <w:rPr>
      <w:rFonts w:ascii="宋体" w:hAnsi="宋体" w:eastAsia="宋体" w:cs="宋体"/>
      <w:kern w:val="0"/>
      <w:szCs w:val="21"/>
    </w:rPr>
  </w:style>
  <w:style w:type="paragraph" w:customStyle="1" w:styleId="194">
    <w:name w:val="mian_con_foot1"/>
    <w:basedOn w:val="1"/>
    <w:qFormat/>
    <w:uiPriority w:val="0"/>
    <w:pPr>
      <w:widowControl/>
      <w:shd w:val="clear" w:color="auto" w:fill="F8F8F8"/>
      <w:spacing w:before="600" w:after="100" w:afterAutospacing="1" w:line="675" w:lineRule="atLeast"/>
      <w:jc w:val="left"/>
    </w:pPr>
    <w:rPr>
      <w:rFonts w:ascii="宋体" w:hAnsi="宋体" w:eastAsia="宋体" w:cs="宋体"/>
      <w:kern w:val="0"/>
      <w:sz w:val="24"/>
      <w:szCs w:val="24"/>
    </w:rPr>
  </w:style>
  <w:style w:type="paragraph" w:customStyle="1" w:styleId="195">
    <w:name w:val="li011"/>
    <w:basedOn w:val="1"/>
    <w:qFormat/>
    <w:uiPriority w:val="0"/>
    <w:pPr>
      <w:widowControl/>
      <w:spacing w:before="100" w:beforeAutospacing="1" w:after="100" w:afterAutospacing="1" w:line="390" w:lineRule="atLeast"/>
      <w:jc w:val="left"/>
    </w:pPr>
    <w:rPr>
      <w:rFonts w:ascii="宋体" w:hAnsi="宋体" w:eastAsia="宋体" w:cs="宋体"/>
      <w:color w:val="333333"/>
      <w:kern w:val="0"/>
      <w:szCs w:val="21"/>
    </w:rPr>
  </w:style>
  <w:style w:type="paragraph" w:customStyle="1" w:styleId="196">
    <w:name w:val="li021"/>
    <w:basedOn w:val="1"/>
    <w:qFormat/>
    <w:uiPriority w:val="0"/>
    <w:pPr>
      <w:widowControl/>
      <w:spacing w:before="100" w:beforeAutospacing="1" w:after="100" w:afterAutospacing="1" w:line="390" w:lineRule="atLeast"/>
      <w:jc w:val="left"/>
    </w:pPr>
    <w:rPr>
      <w:rFonts w:ascii="宋体" w:hAnsi="宋体" w:eastAsia="宋体" w:cs="宋体"/>
      <w:color w:val="333333"/>
      <w:kern w:val="0"/>
      <w:szCs w:val="21"/>
    </w:rPr>
  </w:style>
  <w:style w:type="paragraph" w:customStyle="1" w:styleId="197">
    <w:name w:val="jgld_leader_pic1"/>
    <w:basedOn w:val="1"/>
    <w:qFormat/>
    <w:uiPriority w:val="0"/>
    <w:pPr>
      <w:widowControl/>
      <w:spacing w:before="300" w:after="300"/>
      <w:ind w:left="300" w:right="300"/>
      <w:jc w:val="left"/>
    </w:pPr>
    <w:rPr>
      <w:rFonts w:ascii="宋体" w:hAnsi="宋体" w:eastAsia="宋体" w:cs="宋体"/>
      <w:kern w:val="0"/>
      <w:sz w:val="24"/>
      <w:szCs w:val="24"/>
    </w:rPr>
  </w:style>
  <w:style w:type="paragraph" w:customStyle="1" w:styleId="198">
    <w:name w:val="jdld_leader_right1"/>
    <w:basedOn w:val="1"/>
    <w:qFormat/>
    <w:uiPriority w:val="0"/>
    <w:pPr>
      <w:widowControl/>
      <w:spacing w:before="675" w:after="100" w:afterAutospacing="1"/>
      <w:ind w:left="150"/>
      <w:jc w:val="left"/>
    </w:pPr>
    <w:rPr>
      <w:rFonts w:ascii="宋体" w:hAnsi="宋体" w:eastAsia="宋体" w:cs="宋体"/>
      <w:kern w:val="0"/>
      <w:sz w:val="24"/>
      <w:szCs w:val="24"/>
    </w:rPr>
  </w:style>
  <w:style w:type="paragraph" w:customStyle="1" w:styleId="199">
    <w:name w:val="jdld_leader_tit1"/>
    <w:basedOn w:val="1"/>
    <w:qFormat/>
    <w:uiPriority w:val="0"/>
    <w:pPr>
      <w:widowControl/>
      <w:spacing w:before="100" w:beforeAutospacing="1" w:after="100" w:afterAutospacing="1" w:line="330" w:lineRule="atLeast"/>
      <w:jc w:val="left"/>
    </w:pPr>
    <w:rPr>
      <w:rFonts w:ascii="宋体" w:hAnsi="宋体" w:eastAsia="宋体" w:cs="宋体"/>
      <w:b/>
      <w:bCs/>
      <w:color w:val="990B00"/>
      <w:kern w:val="0"/>
      <w:sz w:val="33"/>
      <w:szCs w:val="33"/>
    </w:rPr>
  </w:style>
  <w:style w:type="paragraph" w:customStyle="1" w:styleId="200">
    <w:name w:val="jdld_leader_zw1"/>
    <w:basedOn w:val="1"/>
    <w:qFormat/>
    <w:uiPriority w:val="0"/>
    <w:pPr>
      <w:widowControl/>
      <w:spacing w:before="100" w:beforeAutospacing="1" w:after="100" w:afterAutospacing="1" w:line="525" w:lineRule="atLeast"/>
      <w:jc w:val="left"/>
    </w:pPr>
    <w:rPr>
      <w:rFonts w:ascii="宋体" w:hAnsi="宋体" w:eastAsia="宋体" w:cs="宋体"/>
      <w:color w:val="333333"/>
      <w:kern w:val="0"/>
      <w:szCs w:val="21"/>
    </w:rPr>
  </w:style>
  <w:style w:type="paragraph" w:customStyle="1" w:styleId="201">
    <w:name w:val="jdld_leader_zw&gt;span1"/>
    <w:basedOn w:val="1"/>
    <w:qFormat/>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202">
    <w:name w:val="jdld_leader_zw&gt;div1"/>
    <w:basedOn w:val="1"/>
    <w:qFormat/>
    <w:uiPriority w:val="0"/>
    <w:pPr>
      <w:widowControl/>
      <w:spacing w:before="100" w:beforeAutospacing="1" w:after="100" w:afterAutospacing="1"/>
      <w:jc w:val="left"/>
    </w:pPr>
    <w:rPr>
      <w:rFonts w:ascii="宋体" w:hAnsi="宋体" w:eastAsia="宋体" w:cs="宋体"/>
      <w:kern w:val="0"/>
      <w:szCs w:val="21"/>
    </w:rPr>
  </w:style>
  <w:style w:type="paragraph" w:customStyle="1" w:styleId="203">
    <w:name w:val="next2"/>
    <w:basedOn w:val="1"/>
    <w:qFormat/>
    <w:uiPriority w:val="0"/>
    <w:pPr>
      <w:widowControl/>
      <w:pBdr>
        <w:right w:val="single" w:color="EEEEEE" w:sz="6" w:space="0"/>
      </w:pBdr>
      <w:spacing w:before="100" w:beforeAutospacing="1" w:after="100" w:afterAutospacing="1"/>
      <w:jc w:val="left"/>
    </w:pPr>
    <w:rPr>
      <w:rFonts w:ascii="宋体" w:hAnsi="宋体" w:eastAsia="宋体" w:cs="宋体"/>
      <w:kern w:val="0"/>
      <w:sz w:val="24"/>
      <w:szCs w:val="24"/>
    </w:rPr>
  </w:style>
  <w:style w:type="paragraph" w:customStyle="1" w:styleId="204">
    <w:name w:val="pageselect1"/>
    <w:basedOn w:val="1"/>
    <w:qFormat/>
    <w:uiPriority w:val="0"/>
    <w:pPr>
      <w:widowControl/>
      <w:pBdr>
        <w:bottom w:val="single" w:color="2E6699" w:sz="18" w:space="0"/>
      </w:pBdr>
      <w:shd w:val="clear" w:color="auto" w:fill="FFFFFF"/>
      <w:spacing w:before="100" w:beforeAutospacing="1" w:after="100" w:afterAutospacing="1"/>
      <w:jc w:val="left"/>
    </w:pPr>
    <w:rPr>
      <w:rFonts w:ascii="宋体" w:hAnsi="宋体" w:eastAsia="宋体" w:cs="宋体"/>
      <w:color w:val="4C4C4C"/>
      <w:kern w:val="0"/>
      <w:sz w:val="24"/>
      <w:szCs w:val="24"/>
    </w:rPr>
  </w:style>
  <w:style w:type="paragraph" w:customStyle="1" w:styleId="205">
    <w:name w:val="gwds_more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6">
    <w:name w:val="topsystem_inner1"/>
    <w:basedOn w:val="1"/>
    <w:qFormat/>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207">
    <w:name w:val="midsystem_inner1"/>
    <w:basedOn w:val="1"/>
    <w:qFormat/>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208">
    <w:name w:val="txt1"/>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09">
    <w:name w:val="txt2"/>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10">
    <w:name w:val="txt3"/>
    <w:basedOn w:val="1"/>
    <w:qFormat/>
    <w:uiPriority w:val="0"/>
    <w:pPr>
      <w:widowControl/>
      <w:spacing w:before="100" w:beforeAutospacing="1" w:after="100" w:afterAutospacing="1" w:line="450" w:lineRule="atLeast"/>
      <w:jc w:val="left"/>
    </w:pPr>
    <w:rPr>
      <w:rFonts w:ascii="微软雅黑" w:hAnsi="微软雅黑" w:eastAsia="微软雅黑" w:cs="宋体"/>
      <w:color w:val="999999"/>
      <w:kern w:val="0"/>
      <w:sz w:val="27"/>
      <w:szCs w:val="27"/>
    </w:rPr>
  </w:style>
  <w:style w:type="paragraph" w:customStyle="1" w:styleId="211">
    <w:name w:val="smooth-lf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2">
    <w:name w:val="smooth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3">
    <w:name w:val="w9801"/>
    <w:basedOn w:val="1"/>
    <w:qFormat/>
    <w:uiPriority w:val="0"/>
    <w:pPr>
      <w:widowControl/>
      <w:jc w:val="left"/>
    </w:pPr>
    <w:rPr>
      <w:rFonts w:ascii="宋体" w:hAnsi="宋体" w:eastAsia="宋体" w:cs="宋体"/>
      <w:kern w:val="0"/>
      <w:sz w:val="24"/>
      <w:szCs w:val="24"/>
    </w:rPr>
  </w:style>
  <w:style w:type="paragraph" w:customStyle="1" w:styleId="214">
    <w:name w:val="smooth-box1"/>
    <w:basedOn w:val="1"/>
    <w:qFormat/>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215">
    <w:name w:val="hj-easyread-sider-btns-item1"/>
    <w:basedOn w:val="1"/>
    <w:qFormat/>
    <w:uiPriority w:val="0"/>
    <w:pPr>
      <w:widowControl/>
      <w:spacing w:before="100" w:beforeAutospacing="1" w:after="100" w:afterAutospacing="1"/>
      <w:jc w:val="left"/>
    </w:pPr>
    <w:rPr>
      <w:rFonts w:ascii="宋体" w:hAnsi="宋体" w:eastAsia="宋体" w:cs="宋体"/>
      <w:vanish/>
      <w:kern w:val="0"/>
      <w:sz w:val="24"/>
      <w:szCs w:val="24"/>
    </w:rPr>
  </w:style>
  <w:style w:type="character" w:customStyle="1" w:styleId="216">
    <w:name w:val="hj-easyread-speakerprocesser-position-action-icon1"/>
    <w:basedOn w:val="12"/>
    <w:qFormat/>
    <w:uiPriority w:val="0"/>
    <w:rPr>
      <w:shd w:val="clear" w:color="auto" w:fill="auto"/>
    </w:rPr>
  </w:style>
  <w:style w:type="paragraph" w:customStyle="1" w:styleId="217">
    <w:name w:val="tipscontrol-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18">
    <w:name w:val="wechat-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19">
    <w:name w:val="wechat-btn2"/>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0">
    <w:name w:val="tipssearch-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1">
    <w:name w:val="tipscitys-btn1"/>
    <w:basedOn w:val="1"/>
    <w:qFormat/>
    <w:uiPriority w:val="0"/>
    <w:pPr>
      <w:widowControl/>
      <w:spacing w:before="100" w:beforeAutospacing="1" w:after="30" w:line="536853376" w:lineRule="auto"/>
      <w:jc w:val="left"/>
    </w:pPr>
    <w:rPr>
      <w:rFonts w:ascii="宋体" w:hAnsi="宋体" w:eastAsia="宋体" w:cs="宋体"/>
      <w:kern w:val="0"/>
      <w:sz w:val="2"/>
      <w:szCs w:val="2"/>
    </w:rPr>
  </w:style>
  <w:style w:type="paragraph" w:customStyle="1" w:styleId="222">
    <w:name w:val="returntotop-btn1"/>
    <w:basedOn w:val="1"/>
    <w:qFormat/>
    <w:uiPriority w:val="0"/>
    <w:pPr>
      <w:widowControl/>
      <w:spacing w:before="100" w:beforeAutospacing="1" w:after="100" w:afterAutospacing="1" w:line="536853376" w:lineRule="auto"/>
      <w:jc w:val="left"/>
    </w:pPr>
    <w:rPr>
      <w:rFonts w:ascii="宋体" w:hAnsi="宋体" w:eastAsia="宋体" w:cs="宋体"/>
      <w:kern w:val="0"/>
      <w:sz w:val="2"/>
      <w:szCs w:val="2"/>
    </w:rPr>
  </w:style>
  <w:style w:type="paragraph" w:customStyle="1" w:styleId="223">
    <w:name w:val="hj-easyread-icons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24">
    <w:name w:val="批注框文本 Char"/>
    <w:basedOn w:val="12"/>
    <w:link w:val="7"/>
    <w:semiHidden/>
    <w:qFormat/>
    <w:uiPriority w:val="99"/>
    <w:rPr>
      <w:sz w:val="18"/>
      <w:szCs w:val="18"/>
    </w:rPr>
  </w:style>
  <w:style w:type="character" w:customStyle="1" w:styleId="225">
    <w:name w:val="页眉 Char"/>
    <w:basedOn w:val="12"/>
    <w:link w:val="9"/>
    <w:qFormat/>
    <w:uiPriority w:val="99"/>
    <w:rPr>
      <w:sz w:val="18"/>
      <w:szCs w:val="18"/>
    </w:rPr>
  </w:style>
  <w:style w:type="character" w:customStyle="1" w:styleId="226">
    <w:name w:val="页脚 Char"/>
    <w:basedOn w:val="12"/>
    <w:link w:val="8"/>
    <w:qFormat/>
    <w:uiPriority w:val="99"/>
    <w:rPr>
      <w:sz w:val="18"/>
      <w:szCs w:val="18"/>
    </w:rPr>
  </w:style>
  <w:style w:type="paragraph" w:customStyle="1" w:styleId="227">
    <w:name w:val="Char Char Char Char Char Char Char"/>
    <w:basedOn w:val="1"/>
    <w:qFormat/>
    <w:uiPriority w:val="0"/>
    <w:rPr>
      <w:rFonts w:ascii="Times New Roman" w:hAnsi="Times New Roman" w:eastAsia="宋体" w:cs="Times New Roman"/>
      <w:szCs w:val="21"/>
    </w:rPr>
  </w:style>
  <w:style w:type="paragraph" w:styleId="22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5208</Words>
  <Characters>5412</Characters>
  <Lines>45</Lines>
  <Paragraphs>12</Paragraphs>
  <TotalTime>3</TotalTime>
  <ScaleCrop>false</ScaleCrop>
  <LinksUpToDate>false</LinksUpToDate>
  <CharactersWithSpaces>5485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2020-08-26T02:48:00Z</dcterms:created>
  <dc:creator>NTKO</dc:creator>
  <cp:lastModifiedBy>Administrator</cp:lastModifiedBy>
  <cp:lastPrinted>2026-06-30T02:54:00Z</cp:lastPrinted>
  <dcterms:modified xsi:type="dcterms:W3CDTF">2026-08-12T03:11:42Z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6C553E77185B403AA8F4450FD29DF6DD_13</vt:lpwstr>
  </property>
  <property fmtid="{D5CDD505-2E9C-101B-9397-08002B2CF9AE}" pid="4" name="KSOTemplateDocerSaveRecord">
    <vt:lpwstr>eyJoZGlkIjoiZDUyNjg0MGI4MjU3M2M1MTUxNWY3MjQxYTNmYmVjZjAiLCJ1c2VySWQiOiI2NTQwMjQ2MzAifQ==</vt:lpwstr>
  </property>
</Properties>
</file>