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338E0">
      <w:pPr>
        <w:pStyle w:val="12"/>
        <w:keepNext w:val="0"/>
        <w:keepLines w:val="0"/>
        <w:widowControl/>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b w:val="0"/>
          <w:bCs w:val="0"/>
          <w:i w:val="0"/>
          <w:iCs w:val="0"/>
          <w:color w:val="auto"/>
          <w:spacing w:val="0"/>
          <w:w w:val="100"/>
          <w:sz w:val="44"/>
          <w:szCs w:val="44"/>
          <w:vertAlign w:val="baseline"/>
        </w:rPr>
      </w:pPr>
      <w:r>
        <w:rPr>
          <w:rFonts w:hint="eastAsia" w:ascii="方正小标宋简体" w:hAnsi="方正小标宋简体" w:eastAsia="方正小标宋简体" w:cs="方正小标宋简体"/>
          <w:b w:val="0"/>
          <w:bCs w:val="0"/>
          <w:i w:val="0"/>
          <w:iCs w:val="0"/>
          <w:color w:val="auto"/>
          <w:spacing w:val="0"/>
          <w:w w:val="100"/>
          <w:sz w:val="44"/>
          <w:szCs w:val="44"/>
          <w:vertAlign w:val="baseline"/>
        </w:rPr>
        <w:t>202</w:t>
      </w:r>
      <w:r>
        <w:rPr>
          <w:rFonts w:hint="eastAsia" w:ascii="方正小标宋简体" w:hAnsi="方正小标宋简体" w:eastAsia="方正小标宋简体" w:cs="方正小标宋简体"/>
          <w:b w:val="0"/>
          <w:bCs w:val="0"/>
          <w:i w:val="0"/>
          <w:iCs w:val="0"/>
          <w:color w:val="auto"/>
          <w:spacing w:val="0"/>
          <w:w w:val="100"/>
          <w:sz w:val="44"/>
          <w:szCs w:val="44"/>
          <w:vertAlign w:val="baseline"/>
          <w:lang w:val="en-US" w:eastAsia="zh-CN"/>
        </w:rPr>
        <w:t>5</w:t>
      </w:r>
      <w:r>
        <w:rPr>
          <w:rFonts w:hint="eastAsia" w:ascii="方正小标宋简体" w:hAnsi="方正小标宋简体" w:eastAsia="方正小标宋简体" w:cs="方正小标宋简体"/>
          <w:b w:val="0"/>
          <w:bCs w:val="0"/>
          <w:i w:val="0"/>
          <w:iCs w:val="0"/>
          <w:color w:val="auto"/>
          <w:spacing w:val="0"/>
          <w:w w:val="100"/>
          <w:sz w:val="44"/>
          <w:szCs w:val="44"/>
          <w:vertAlign w:val="baseline"/>
        </w:rPr>
        <w:t>年度南京市人民政府外事办公室</w:t>
      </w:r>
    </w:p>
    <w:p w14:paraId="65258FDB">
      <w:pPr>
        <w:pStyle w:val="12"/>
        <w:keepNext w:val="0"/>
        <w:keepLines w:val="0"/>
        <w:widowControl/>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b w:val="0"/>
          <w:bCs w:val="0"/>
          <w:i w:val="0"/>
          <w:iCs w:val="0"/>
          <w:color w:val="auto"/>
          <w:spacing w:val="0"/>
          <w:w w:val="100"/>
          <w:sz w:val="44"/>
          <w:szCs w:val="44"/>
          <w:vertAlign w:val="baseline"/>
        </w:rPr>
        <w:t>部门整体绩效自评价报告</w:t>
      </w:r>
    </w:p>
    <w:p w14:paraId="73DEBA62">
      <w:pPr>
        <w:pStyle w:val="12"/>
        <w:keepNext w:val="0"/>
        <w:keepLines w:val="0"/>
        <w:widowControl/>
        <w:suppressLineNumbers w:val="0"/>
        <w:spacing w:before="0" w:beforeAutospacing="0" w:after="0" w:afterAutospacing="0" w:line="520" w:lineRule="exact"/>
        <w:ind w:left="0" w:right="0" w:firstLine="420"/>
        <w:jc w:val="left"/>
        <w:rPr>
          <w:rFonts w:hint="eastAsia" w:ascii="方正小标宋简体" w:hAnsi="方正小标宋简体" w:eastAsia="方正小标宋简体" w:cs="方正小标宋简体"/>
          <w:b w:val="0"/>
          <w:bCs w:val="0"/>
          <w:i w:val="0"/>
          <w:iCs w:val="0"/>
          <w:color w:val="auto"/>
          <w:spacing w:val="0"/>
          <w:w w:val="100"/>
          <w:sz w:val="32"/>
          <w:szCs w:val="32"/>
          <w:vertAlign w:val="baseline"/>
        </w:rPr>
      </w:pPr>
    </w:p>
    <w:p w14:paraId="666F1B71">
      <w:pPr>
        <w:pStyle w:val="12"/>
        <w:keepNext w:val="0"/>
        <w:keepLines w:val="0"/>
        <w:widowControl/>
        <w:suppressLineNumbers w:val="0"/>
        <w:spacing w:before="0" w:beforeAutospacing="0" w:after="0" w:afterAutospacing="0" w:line="520" w:lineRule="exact"/>
        <w:ind w:right="0" w:firstLine="640" w:firstLineChars="200"/>
        <w:jc w:val="left"/>
        <w:rPr>
          <w:rFonts w:hint="eastAsia" w:ascii="方正黑体_GBK" w:hAnsi="方正黑体_GBK" w:eastAsia="方正黑体_GBK" w:cs="方正黑体_GBK"/>
          <w:color w:val="auto"/>
        </w:rPr>
      </w:pPr>
      <w:r>
        <w:rPr>
          <w:rFonts w:hint="eastAsia" w:ascii="方正黑体_GBK" w:hAnsi="方正黑体_GBK" w:eastAsia="方正黑体_GBK" w:cs="方正黑体_GBK"/>
          <w:b w:val="0"/>
          <w:bCs w:val="0"/>
          <w:i w:val="0"/>
          <w:iCs w:val="0"/>
          <w:color w:val="auto"/>
          <w:spacing w:val="0"/>
          <w:w w:val="100"/>
          <w:sz w:val="32"/>
          <w:szCs w:val="32"/>
          <w:vertAlign w:val="baseline"/>
        </w:rPr>
        <w:t>一、部门（单位）概况</w:t>
      </w:r>
    </w:p>
    <w:p w14:paraId="683A9114">
      <w:pPr>
        <w:pStyle w:val="12"/>
        <w:keepNext w:val="0"/>
        <w:keepLines w:val="0"/>
        <w:widowControl/>
        <w:suppressLineNumbers w:val="0"/>
        <w:spacing w:before="0" w:beforeAutospacing="0" w:after="0" w:afterAutospacing="0" w:line="520" w:lineRule="exact"/>
        <w:ind w:left="0" w:right="0" w:firstLine="420"/>
        <w:jc w:val="both"/>
        <w:rPr>
          <w:rFonts w:hint="eastAsia" w:ascii="方正楷体_GBK" w:hAnsi="方正楷体_GBK" w:eastAsia="方正楷体_GBK" w:cs="方正楷体_GBK"/>
          <w:b/>
          <w:bCs/>
          <w:color w:val="auto"/>
        </w:rPr>
      </w:pPr>
      <w:r>
        <w:rPr>
          <w:rFonts w:hint="eastAsia" w:ascii="方正楷体_GBK" w:hAnsi="方正楷体_GBK" w:eastAsia="方正楷体_GBK" w:cs="方正楷体_GBK"/>
          <w:b/>
          <w:bCs/>
          <w:i w:val="0"/>
          <w:iCs w:val="0"/>
          <w:color w:val="auto"/>
          <w:spacing w:val="0"/>
          <w:w w:val="100"/>
          <w:sz w:val="32"/>
          <w:szCs w:val="32"/>
          <w:vertAlign w:val="baseline"/>
        </w:rPr>
        <w:t>（一）部门（单位）基本情况</w:t>
      </w:r>
    </w:p>
    <w:p w14:paraId="78E67D58">
      <w:pPr>
        <w:pStyle w:val="1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20"/>
        <w:jc w:val="left"/>
        <w:textAlignment w:val="auto"/>
        <w:rPr>
          <w:rFonts w:hint="default" w:ascii="Times New Roman" w:hAnsi="Times New Roman" w:eastAsia="方正仿宋_GBK" w:cs="Times New Roman"/>
          <w:color w:val="auto"/>
          <w:sz w:val="32"/>
          <w:szCs w:val="32"/>
        </w:rPr>
      </w:pPr>
      <w:bookmarkStart w:id="0" w:name="_Toc47543870"/>
      <w:r>
        <w:rPr>
          <w:rFonts w:hint="default" w:ascii="Times New Roman" w:hAnsi="Times New Roman" w:eastAsia="方正仿宋_GBK" w:cs="Times New Roman"/>
          <w:color w:val="auto"/>
          <w:sz w:val="32"/>
          <w:szCs w:val="32"/>
        </w:rPr>
        <w:t>根据《中共江苏省委江苏省人民政府关于印发〈南京市人民政府机构改革方案〉的通知》（苏委〔2010〕63号）和《中共南京市委南京市人民政府关于南京市人民政府机构改革的实施意见》（宁委〔2010〕43号），设立市人民政府外事办公室，挂市人民政府港澳事务办公室牌子，为市政府工作部门，承担全市外事和港澳事务管理的责任。</w:t>
      </w:r>
    </w:p>
    <w:p w14:paraId="7DD2425D">
      <w:pPr>
        <w:pStyle w:val="12"/>
        <w:keepNext w:val="0"/>
        <w:keepLines w:val="0"/>
        <w:widowControl/>
        <w:suppressLineNumbers w:val="0"/>
        <w:spacing w:before="0" w:beforeAutospacing="0" w:after="0" w:afterAutospacing="0" w:line="520" w:lineRule="exact"/>
        <w:ind w:left="0" w:right="0" w:firstLine="420"/>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截至202</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 xml:space="preserve">年12月31 日, </w:t>
      </w:r>
      <w:r>
        <w:rPr>
          <w:rFonts w:hint="default" w:ascii="Times New Roman" w:hAnsi="Times New Roman" w:eastAsia="方正仿宋_GBK" w:cs="Times New Roman"/>
          <w:color w:val="auto"/>
          <w:sz w:val="32"/>
          <w:szCs w:val="32"/>
          <w:lang w:val="en-US" w:eastAsia="zh-CN"/>
        </w:rPr>
        <w:t>南京市人民政府外事办公室</w:t>
      </w:r>
      <w:r>
        <w:rPr>
          <w:rFonts w:hint="default" w:ascii="Times New Roman" w:hAnsi="Times New Roman" w:eastAsia="方正仿宋_GBK" w:cs="Times New Roman"/>
          <w:color w:val="auto"/>
          <w:sz w:val="32"/>
          <w:szCs w:val="32"/>
        </w:rPr>
        <w:t>实有人数</w:t>
      </w:r>
      <w:r>
        <w:rPr>
          <w:rFonts w:hint="default" w:ascii="Times New Roman" w:hAnsi="Times New Roman" w:eastAsia="方正仿宋_GBK" w:cs="Times New Roman"/>
          <w:color w:val="auto"/>
          <w:sz w:val="32"/>
          <w:szCs w:val="32"/>
          <w:lang w:val="en-US" w:eastAsia="zh-CN"/>
        </w:rPr>
        <w:t>67</w:t>
      </w:r>
      <w:r>
        <w:rPr>
          <w:rFonts w:hint="default" w:ascii="Times New Roman" w:hAnsi="Times New Roman" w:eastAsia="方正仿宋_GBK" w:cs="Times New Roman"/>
          <w:color w:val="auto"/>
          <w:sz w:val="32"/>
          <w:szCs w:val="32"/>
        </w:rPr>
        <w:t>人，其中</w:t>
      </w:r>
      <w:r>
        <w:rPr>
          <w:rFonts w:hint="default" w:ascii="Times New Roman" w:hAnsi="Times New Roman" w:eastAsia="方正仿宋_GBK" w:cs="Times New Roman"/>
          <w:color w:val="auto"/>
          <w:sz w:val="32"/>
          <w:szCs w:val="32"/>
          <w:lang w:val="en-US" w:eastAsia="zh-CN"/>
        </w:rPr>
        <w:t>行政编制人员</w:t>
      </w:r>
      <w:r>
        <w:rPr>
          <w:rFonts w:hint="default" w:ascii="Times New Roman" w:hAnsi="Times New Roman" w:eastAsia="方正仿宋_GBK" w:cs="Times New Roman"/>
          <w:color w:val="auto"/>
          <w:sz w:val="32"/>
          <w:szCs w:val="22"/>
          <w:lang w:val="en-US" w:eastAsia="zh-CN"/>
        </w:rPr>
        <w:t>49</w:t>
      </w:r>
      <w:r>
        <w:rPr>
          <w:rFonts w:hint="default" w:ascii="Times New Roman" w:hAnsi="Times New Roman" w:eastAsia="方正仿宋_GBK" w:cs="Times New Roman"/>
          <w:color w:val="auto"/>
          <w:sz w:val="32"/>
          <w:szCs w:val="22"/>
          <w:lang w:eastAsia="zh-CN"/>
        </w:rPr>
        <w:t>人</w:t>
      </w:r>
      <w:r>
        <w:rPr>
          <w:rFonts w:hint="default" w:ascii="Times New Roman" w:hAnsi="Times New Roman" w:eastAsia="方正仿宋_GBK" w:cs="Times New Roman"/>
          <w:color w:val="auto"/>
          <w:sz w:val="32"/>
          <w:szCs w:val="22"/>
          <w:lang w:eastAsia="zh-CN"/>
        </w:rPr>
        <w:t>，事业编制</w:t>
      </w:r>
      <w:r>
        <w:rPr>
          <w:rFonts w:hint="default" w:ascii="Times New Roman" w:hAnsi="Times New Roman" w:eastAsia="方正仿宋_GBK" w:cs="Times New Roman"/>
          <w:color w:val="auto"/>
          <w:sz w:val="32"/>
          <w:szCs w:val="22"/>
          <w:lang w:val="en-US" w:eastAsia="zh-CN"/>
        </w:rPr>
        <w:t>7</w:t>
      </w:r>
      <w:r>
        <w:rPr>
          <w:rFonts w:hint="default" w:ascii="Times New Roman" w:hAnsi="Times New Roman" w:eastAsia="方正仿宋_GBK" w:cs="Times New Roman"/>
          <w:color w:val="auto"/>
          <w:sz w:val="32"/>
          <w:szCs w:val="22"/>
          <w:lang w:eastAsia="zh-CN"/>
        </w:rPr>
        <w:t>人，</w:t>
      </w:r>
      <w:r>
        <w:rPr>
          <w:rFonts w:hint="default" w:ascii="Times New Roman" w:hAnsi="Times New Roman" w:eastAsia="方正仿宋_GBK" w:cs="Times New Roman"/>
          <w:color w:val="auto"/>
          <w:sz w:val="32"/>
          <w:szCs w:val="22"/>
          <w:lang w:val="en-US" w:eastAsia="zh-CN"/>
        </w:rPr>
        <w:t>聘用人员11人</w:t>
      </w:r>
      <w:r>
        <w:rPr>
          <w:rFonts w:hint="default" w:ascii="Times New Roman" w:hAnsi="Times New Roman" w:eastAsia="方正仿宋_GBK" w:cs="Times New Roman"/>
          <w:color w:val="auto"/>
          <w:sz w:val="32"/>
          <w:szCs w:val="32"/>
        </w:rPr>
        <w:t>。</w:t>
      </w:r>
    </w:p>
    <w:bookmarkEnd w:id="0"/>
    <w:p w14:paraId="0AE2069C">
      <w:pPr>
        <w:pStyle w:val="12"/>
        <w:keepNext w:val="0"/>
        <w:keepLines w:val="0"/>
        <w:widowControl/>
        <w:suppressLineNumbers w:val="0"/>
        <w:spacing w:before="0" w:beforeAutospacing="0" w:after="0" w:afterAutospacing="0" w:line="520" w:lineRule="exact"/>
        <w:ind w:left="0" w:right="0" w:firstLine="420"/>
        <w:jc w:val="left"/>
        <w:rPr>
          <w:rFonts w:hint="default" w:ascii="Times New Roman" w:hAnsi="Times New Roman" w:eastAsia="方正仿宋_GBK" w:cs="Times New Roman"/>
          <w:color w:val="auto"/>
          <w:sz w:val="32"/>
          <w:szCs w:val="22"/>
          <w:lang w:eastAsia="zh-CN"/>
        </w:rPr>
      </w:pPr>
      <w:r>
        <w:rPr>
          <w:rFonts w:hint="default" w:ascii="Times New Roman" w:hAnsi="Times New Roman" w:eastAsia="方正仿宋_GBK" w:cs="Times New Roman"/>
          <w:color w:val="auto"/>
          <w:sz w:val="32"/>
          <w:szCs w:val="22"/>
          <w:lang w:eastAsia="zh-CN"/>
        </w:rPr>
        <w:t>市政府外事办公室主要职责是：贯彻执行党和国家对外方针政策和法律法规，落实省委、省政府和市委、市政府有关外事工作的指示和决定，负责政策指导、业务考核、监督检查工作。承担市委外事工作委员会日常工作。管理、统筹协调全市各领域对外交流与合作，拟订外事工作相关政策规划。研究分析各国发展动态和政策走向，围绕我市经济建设、社会发展和对外开放，为市委、市政府提供外事工作决策的建议。贯彻执行中央对香港、澳门的政策规定，统筹协调和归口管理我市与香港、澳门特别行政区往来工作。统筹安排并承办市委、市人大常委会、市政府和市政协领导同志的出访和国内外事活动事项。接待来我市访问的党宾、国宾和其他重要外宾。承办外国有关人员来访事宜。指导全市重要外事活动的礼宾工作。会同有关部门做好涉外参观单位的建设工作。承担我市与外国有关领事机构、国际组织的业务联系和交涉工作。指导、协调我市举办国际会议的报批事宜。负责全市因公出国（境）工作的归口管理、协调服务和监督工作。在授权范围内，审核或审批相关人员因公出国（境）事项，承担我市因公出国（境）人员证照和签证、签注的申办业务。会同有关部门落实外事纪律及保密制度。承办我市对外交往事务，归口管理我市与外国友好城市和其他单位结好与交往事宜。指导我市民间对外交往工作。承担授予外国人荣誉称号、名誉职务和给予重要奖励等有关工作。协助有关部门管理来我市的外国人工作，依法保障来我市外国人的合法权益。负责海外侨务工作。指导、协调、管理我市社会组织对外交往事宜。会同有关部门协调处理重要涉外事件和案件。协调指导我市境外机构、公民安全与合法权益保护工作。指导全市涉外应急事务处理。负责全市外事干部和涉外人员的教育培训工作。会同有关部门进行对外宣传和群众性外事教育。主管来我市采访的外国记者和外国常驻我市的新闻机构事务。代管市人民对外友好协会。完成市委、市政府交办的其他事项。市外办内设机构9个：市委外事工作委员会办公室综合协调处、秘书行政处、出国来华管理处、美大处、欧非处、亚洲处、港澳事务处（多边合作处）、涉外管理处、友协工作处。另设机关党委</w:t>
      </w:r>
      <w:r>
        <w:rPr>
          <w:rFonts w:hint="default" w:ascii="Times New Roman" w:hAnsi="Times New Roman" w:eastAsia="方正仿宋_GBK" w:cs="Times New Roman"/>
          <w:color w:val="auto"/>
          <w:sz w:val="32"/>
          <w:szCs w:val="22"/>
          <w:lang w:eastAsia="zh-CN"/>
        </w:rPr>
        <w:t>。</w:t>
      </w:r>
      <w:r>
        <w:rPr>
          <w:rFonts w:hint="default" w:ascii="Times New Roman" w:hAnsi="Times New Roman" w:eastAsia="方正仿宋_GBK" w:cs="Times New Roman"/>
          <w:color w:val="auto"/>
          <w:sz w:val="32"/>
          <w:szCs w:val="22"/>
          <w:lang w:eastAsia="zh-CN"/>
        </w:rPr>
        <w:t>本部门下属单位包括：南京市外事翻译中心。</w:t>
      </w:r>
    </w:p>
    <w:p w14:paraId="37885200">
      <w:pPr>
        <w:pStyle w:val="12"/>
        <w:keepNext w:val="0"/>
        <w:keepLines w:val="0"/>
        <w:widowControl/>
        <w:suppressLineNumbers w:val="0"/>
        <w:spacing w:before="0" w:beforeAutospacing="0" w:after="0" w:afterAutospacing="0" w:line="520" w:lineRule="exact"/>
        <w:ind w:left="0" w:right="0" w:firstLine="420"/>
        <w:jc w:val="left"/>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zh-CN" w:eastAsia="zh-CN"/>
        </w:rPr>
        <w:t>截至202</w:t>
      </w:r>
      <w:r>
        <w:rPr>
          <w:rFonts w:hint="default" w:ascii="Times New Roman" w:hAnsi="Times New Roman" w:eastAsia="方正仿宋_GBK" w:cs="Times New Roman"/>
          <w:color w:val="auto"/>
          <w:sz w:val="32"/>
          <w:szCs w:val="22"/>
          <w:lang w:val="en-US" w:eastAsia="zh-CN"/>
        </w:rPr>
        <w:t>5</w:t>
      </w:r>
      <w:r>
        <w:rPr>
          <w:rFonts w:hint="default" w:ascii="Times New Roman" w:hAnsi="Times New Roman" w:eastAsia="方正仿宋_GBK" w:cs="Times New Roman"/>
          <w:color w:val="auto"/>
          <w:sz w:val="32"/>
          <w:szCs w:val="22"/>
          <w:lang w:val="zh-CN" w:eastAsia="zh-CN"/>
        </w:rPr>
        <w:t>年末，市</w:t>
      </w:r>
      <w:r>
        <w:rPr>
          <w:rFonts w:hint="default" w:ascii="Times New Roman" w:hAnsi="Times New Roman" w:eastAsia="方正仿宋_GBK" w:cs="Times New Roman"/>
          <w:color w:val="auto"/>
          <w:sz w:val="32"/>
          <w:szCs w:val="22"/>
          <w:lang w:val="en-US" w:eastAsia="zh-CN"/>
        </w:rPr>
        <w:t>外办</w:t>
      </w:r>
      <w:r>
        <w:rPr>
          <w:rFonts w:hint="default" w:ascii="Times New Roman" w:hAnsi="Times New Roman" w:eastAsia="方正仿宋_GBK" w:cs="Times New Roman"/>
          <w:color w:val="auto"/>
          <w:sz w:val="32"/>
          <w:szCs w:val="22"/>
          <w:lang w:val="zh-CN" w:eastAsia="zh-CN"/>
        </w:rPr>
        <w:t>资产总额为</w:t>
      </w:r>
      <w:r>
        <w:rPr>
          <w:rFonts w:hint="default" w:ascii="Times New Roman" w:hAnsi="Times New Roman" w:eastAsia="方正仿宋_GBK" w:cs="Times New Roman"/>
          <w:color w:val="auto"/>
          <w:sz w:val="32"/>
          <w:szCs w:val="22"/>
          <w:lang w:val="en-US" w:eastAsia="zh-CN"/>
        </w:rPr>
        <w:t>913.71</w:t>
      </w:r>
      <w:r>
        <w:rPr>
          <w:rFonts w:hint="default" w:ascii="Times New Roman" w:hAnsi="Times New Roman" w:eastAsia="方正仿宋_GBK" w:cs="Times New Roman"/>
          <w:color w:val="auto"/>
          <w:sz w:val="32"/>
          <w:szCs w:val="22"/>
          <w:lang w:val="zh-CN" w:eastAsia="zh-CN"/>
        </w:rPr>
        <w:t>万元，其中流动资产</w:t>
      </w:r>
      <w:r>
        <w:rPr>
          <w:rFonts w:hint="default" w:ascii="Times New Roman" w:hAnsi="Times New Roman" w:eastAsia="方正仿宋_GBK" w:cs="Times New Roman"/>
          <w:color w:val="auto"/>
          <w:sz w:val="32"/>
          <w:szCs w:val="22"/>
          <w:lang w:val="en-US" w:eastAsia="zh-CN"/>
        </w:rPr>
        <w:t>696.35</w:t>
      </w:r>
      <w:r>
        <w:rPr>
          <w:rFonts w:hint="default" w:ascii="Times New Roman" w:hAnsi="Times New Roman" w:eastAsia="方正仿宋_GBK" w:cs="Times New Roman"/>
          <w:color w:val="auto"/>
          <w:sz w:val="32"/>
          <w:szCs w:val="22"/>
          <w:lang w:val="zh-CN" w:eastAsia="zh-CN"/>
        </w:rPr>
        <w:t>万元，非流动资产</w:t>
      </w:r>
      <w:r>
        <w:rPr>
          <w:rFonts w:hint="default" w:ascii="Times New Roman" w:hAnsi="Times New Roman" w:eastAsia="方正仿宋_GBK" w:cs="Times New Roman"/>
          <w:color w:val="auto"/>
          <w:sz w:val="32"/>
          <w:szCs w:val="22"/>
          <w:lang w:val="en-US" w:eastAsia="zh-CN"/>
        </w:rPr>
        <w:t>217.36</w:t>
      </w:r>
      <w:r>
        <w:rPr>
          <w:rFonts w:hint="default" w:ascii="Times New Roman" w:hAnsi="Times New Roman" w:eastAsia="方正仿宋_GBK" w:cs="Times New Roman"/>
          <w:color w:val="auto"/>
          <w:sz w:val="32"/>
          <w:szCs w:val="22"/>
          <w:lang w:val="zh-CN" w:eastAsia="zh-CN"/>
        </w:rPr>
        <w:t>万元。固定资产原值为</w:t>
      </w:r>
      <w:r>
        <w:rPr>
          <w:rFonts w:hint="default" w:ascii="Times New Roman" w:hAnsi="Times New Roman" w:eastAsia="方正仿宋_GBK" w:cs="Times New Roman"/>
          <w:color w:val="auto"/>
          <w:sz w:val="32"/>
          <w:szCs w:val="22"/>
          <w:lang w:val="en-US" w:eastAsia="zh-CN"/>
        </w:rPr>
        <w:t>407.35</w:t>
      </w:r>
      <w:r>
        <w:rPr>
          <w:rFonts w:hint="default" w:ascii="Times New Roman" w:hAnsi="Times New Roman" w:eastAsia="方正仿宋_GBK" w:cs="Times New Roman"/>
          <w:color w:val="auto"/>
          <w:sz w:val="32"/>
          <w:szCs w:val="22"/>
          <w:lang w:val="zh-CN" w:eastAsia="zh-CN"/>
        </w:rPr>
        <w:t>万元，净值为</w:t>
      </w:r>
      <w:r>
        <w:rPr>
          <w:rFonts w:hint="default" w:ascii="Times New Roman" w:hAnsi="Times New Roman" w:eastAsia="方正仿宋_GBK" w:cs="Times New Roman"/>
          <w:color w:val="auto"/>
          <w:sz w:val="32"/>
          <w:szCs w:val="22"/>
          <w:lang w:val="en-US" w:eastAsia="zh-CN"/>
        </w:rPr>
        <w:t>62.34</w:t>
      </w:r>
      <w:r>
        <w:rPr>
          <w:rFonts w:hint="default" w:ascii="Times New Roman" w:hAnsi="Times New Roman" w:eastAsia="方正仿宋_GBK" w:cs="Times New Roman"/>
          <w:color w:val="auto"/>
          <w:sz w:val="32"/>
          <w:szCs w:val="22"/>
          <w:lang w:val="zh-CN" w:eastAsia="zh-CN"/>
        </w:rPr>
        <w:t>万元，办公设备按照核定标准配置。无形资产原值为</w:t>
      </w:r>
      <w:r>
        <w:rPr>
          <w:rFonts w:hint="default" w:ascii="Times New Roman" w:hAnsi="Times New Roman" w:eastAsia="方正仿宋_GBK" w:cs="Times New Roman"/>
          <w:color w:val="auto"/>
          <w:sz w:val="32"/>
          <w:szCs w:val="22"/>
          <w:lang w:val="en-US" w:eastAsia="zh-CN"/>
        </w:rPr>
        <w:t>180.75</w:t>
      </w:r>
      <w:r>
        <w:rPr>
          <w:rFonts w:hint="default" w:ascii="Times New Roman" w:hAnsi="Times New Roman" w:eastAsia="方正仿宋_GBK" w:cs="Times New Roman"/>
          <w:color w:val="auto"/>
          <w:sz w:val="32"/>
          <w:szCs w:val="22"/>
          <w:lang w:val="zh-CN" w:eastAsia="zh-CN"/>
        </w:rPr>
        <w:t>万元，净值为</w:t>
      </w:r>
      <w:r>
        <w:rPr>
          <w:rFonts w:hint="default" w:ascii="Times New Roman" w:hAnsi="Times New Roman" w:eastAsia="方正仿宋_GBK" w:cs="Times New Roman"/>
          <w:color w:val="auto"/>
          <w:sz w:val="32"/>
          <w:szCs w:val="22"/>
          <w:lang w:val="en-US" w:eastAsia="zh-CN"/>
        </w:rPr>
        <w:t>103.23</w:t>
      </w:r>
      <w:r>
        <w:rPr>
          <w:rFonts w:hint="default" w:ascii="Times New Roman" w:hAnsi="Times New Roman" w:eastAsia="方正仿宋_GBK" w:cs="Times New Roman"/>
          <w:color w:val="auto"/>
          <w:sz w:val="32"/>
          <w:szCs w:val="22"/>
          <w:lang w:val="zh-CN" w:eastAsia="zh-CN"/>
        </w:rPr>
        <w:t>万元。</w:t>
      </w:r>
      <w:r>
        <w:rPr>
          <w:rFonts w:hint="default" w:ascii="Times New Roman" w:hAnsi="Times New Roman" w:eastAsia="方正仿宋_GBK" w:cs="Times New Roman"/>
          <w:color w:val="auto"/>
          <w:sz w:val="32"/>
          <w:szCs w:val="22"/>
          <w:lang w:val="en-US" w:eastAsia="zh-CN"/>
        </w:rPr>
        <w:t>研发支出为51.79万元。</w:t>
      </w:r>
    </w:p>
    <w:p w14:paraId="5D655DBF">
      <w:pPr>
        <w:pStyle w:val="12"/>
        <w:keepNext w:val="0"/>
        <w:keepLines w:val="0"/>
        <w:widowControl/>
        <w:suppressLineNumbers w:val="0"/>
        <w:spacing w:before="0" w:beforeAutospacing="0" w:after="0" w:afterAutospacing="0" w:line="520" w:lineRule="exact"/>
        <w:ind w:left="0" w:right="0" w:firstLine="420"/>
        <w:jc w:val="both"/>
        <w:rPr>
          <w:rFonts w:hint="default" w:ascii="方正楷体_GBK" w:hAnsi="方正楷体_GBK" w:eastAsia="方正楷体_GBK" w:cs="方正楷体_GBK"/>
          <w:b/>
          <w:bCs/>
          <w:i w:val="0"/>
          <w:iCs w:val="0"/>
          <w:color w:val="auto"/>
          <w:spacing w:val="0"/>
          <w:w w:val="100"/>
          <w:sz w:val="32"/>
          <w:szCs w:val="32"/>
          <w:vertAlign w:val="baseline"/>
        </w:rPr>
      </w:pPr>
      <w:r>
        <w:rPr>
          <w:rFonts w:hint="default" w:ascii="方正楷体_GBK" w:hAnsi="方正楷体_GBK" w:eastAsia="方正楷体_GBK" w:cs="方正楷体_GBK"/>
          <w:b/>
          <w:bCs/>
          <w:i w:val="0"/>
          <w:iCs w:val="0"/>
          <w:color w:val="auto"/>
          <w:spacing w:val="0"/>
          <w:w w:val="100"/>
          <w:sz w:val="32"/>
          <w:szCs w:val="32"/>
          <w:vertAlign w:val="baseline"/>
        </w:rPr>
        <w:t>（二）部门（单位）收支情况</w:t>
      </w:r>
    </w:p>
    <w:p w14:paraId="25FDE6C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22"/>
          <w:lang w:eastAsia="zh-CN"/>
        </w:rPr>
      </w:pPr>
      <w:r>
        <w:rPr>
          <w:rFonts w:hint="default" w:ascii="Times New Roman" w:hAnsi="Times New Roman" w:eastAsia="方正仿宋_GBK" w:cs="Times New Roman"/>
          <w:color w:val="auto"/>
          <w:sz w:val="32"/>
          <w:szCs w:val="22"/>
          <w:lang w:eastAsia="zh-CN"/>
        </w:rPr>
        <w:t>202</w:t>
      </w:r>
      <w:r>
        <w:rPr>
          <w:rFonts w:hint="default" w:ascii="Times New Roman" w:hAnsi="Times New Roman" w:eastAsia="方正仿宋_GBK" w:cs="Times New Roman"/>
          <w:color w:val="auto"/>
          <w:sz w:val="32"/>
          <w:szCs w:val="22"/>
          <w:lang w:val="en-US" w:eastAsia="zh-CN"/>
        </w:rPr>
        <w:t>5</w:t>
      </w:r>
      <w:r>
        <w:rPr>
          <w:rFonts w:hint="default" w:ascii="Times New Roman" w:hAnsi="Times New Roman" w:eastAsia="方正仿宋_GBK" w:cs="Times New Roman"/>
          <w:color w:val="auto"/>
          <w:sz w:val="32"/>
          <w:szCs w:val="22"/>
          <w:lang w:eastAsia="zh-CN"/>
        </w:rPr>
        <w:t>年初市财政局批复市外办</w:t>
      </w:r>
      <w:r>
        <w:rPr>
          <w:rFonts w:hint="default" w:ascii="Times New Roman" w:hAnsi="Times New Roman" w:eastAsia="方正仿宋_GBK" w:cs="Times New Roman"/>
          <w:color w:val="auto"/>
          <w:sz w:val="32"/>
          <w:szCs w:val="22"/>
          <w:lang w:eastAsia="zh-CN"/>
        </w:rPr>
        <w:t>部门</w:t>
      </w:r>
      <w:r>
        <w:rPr>
          <w:rFonts w:hint="default" w:ascii="Times New Roman" w:hAnsi="Times New Roman" w:eastAsia="方正仿宋_GBK" w:cs="Times New Roman"/>
          <w:color w:val="auto"/>
          <w:sz w:val="32"/>
          <w:szCs w:val="22"/>
          <w:lang w:eastAsia="zh-CN"/>
        </w:rPr>
        <w:t>预算收入总计为</w:t>
      </w:r>
      <w:r>
        <w:rPr>
          <w:rFonts w:hint="default" w:ascii="Times New Roman" w:hAnsi="Times New Roman" w:eastAsia="方正仿宋_GBK" w:cs="Times New Roman"/>
          <w:color w:val="auto"/>
          <w:sz w:val="32"/>
          <w:szCs w:val="22"/>
          <w:lang w:eastAsia="zh-CN"/>
        </w:rPr>
        <w:t>2788.04</w:t>
      </w:r>
      <w:r>
        <w:rPr>
          <w:rFonts w:hint="default" w:ascii="Times New Roman" w:hAnsi="Times New Roman" w:eastAsia="方正仿宋_GBK" w:cs="Times New Roman"/>
          <w:color w:val="auto"/>
          <w:sz w:val="32"/>
          <w:szCs w:val="22"/>
          <w:lang w:eastAsia="zh-CN"/>
        </w:rPr>
        <w:t>万元，调整后预算收入总计</w:t>
      </w:r>
      <w:r>
        <w:rPr>
          <w:rFonts w:hint="default" w:ascii="Times New Roman" w:hAnsi="Times New Roman" w:eastAsia="方正仿宋_GBK" w:cs="Times New Roman"/>
          <w:color w:val="auto"/>
          <w:sz w:val="32"/>
          <w:szCs w:val="22"/>
          <w:lang w:eastAsia="zh-CN"/>
        </w:rPr>
        <w:t>3729.48</w:t>
      </w:r>
      <w:r>
        <w:rPr>
          <w:rFonts w:hint="default" w:ascii="Times New Roman" w:hAnsi="Times New Roman" w:eastAsia="方正仿宋_GBK" w:cs="Times New Roman"/>
          <w:color w:val="auto"/>
          <w:sz w:val="32"/>
          <w:szCs w:val="22"/>
          <w:lang w:eastAsia="zh-CN"/>
        </w:rPr>
        <w:t>万元</w:t>
      </w:r>
      <w:r>
        <w:rPr>
          <w:rFonts w:hint="default" w:ascii="Times New Roman" w:hAnsi="Times New Roman" w:eastAsia="方正仿宋_GBK" w:cs="Times New Roman"/>
          <w:color w:val="auto"/>
          <w:sz w:val="32"/>
          <w:szCs w:val="22"/>
          <w:lang w:eastAsia="zh-CN"/>
        </w:rPr>
        <w:t>，</w:t>
      </w:r>
      <w:r>
        <w:rPr>
          <w:rFonts w:hint="default" w:ascii="Times New Roman" w:hAnsi="Times New Roman" w:eastAsia="方正仿宋_GBK" w:cs="Times New Roman"/>
          <w:color w:val="auto"/>
          <w:sz w:val="32"/>
          <w:szCs w:val="22"/>
          <w:lang w:val="en-US" w:eastAsia="zh-CN"/>
        </w:rPr>
        <w:t>调整增加原因一是人员经费政策性增加，二是增加因公出国（境）项目经费</w:t>
      </w:r>
      <w:r>
        <w:rPr>
          <w:rFonts w:hint="default" w:ascii="Times New Roman" w:hAnsi="Times New Roman" w:eastAsia="方正仿宋_GBK" w:cs="Times New Roman"/>
          <w:color w:val="auto"/>
          <w:sz w:val="32"/>
          <w:szCs w:val="22"/>
          <w:lang w:eastAsia="zh-CN"/>
        </w:rPr>
        <w:t>；实际全年收入</w:t>
      </w:r>
      <w:r>
        <w:rPr>
          <w:rFonts w:hint="default" w:ascii="Times New Roman" w:hAnsi="Times New Roman" w:eastAsia="方正仿宋_GBK" w:cs="Times New Roman"/>
          <w:color w:val="auto"/>
          <w:sz w:val="32"/>
          <w:szCs w:val="22"/>
          <w:lang w:eastAsia="zh-CN"/>
        </w:rPr>
        <w:t>3660.11</w:t>
      </w:r>
      <w:r>
        <w:rPr>
          <w:rFonts w:hint="default" w:ascii="Times New Roman" w:hAnsi="Times New Roman" w:eastAsia="方正仿宋_GBK" w:cs="Times New Roman"/>
          <w:color w:val="auto"/>
          <w:sz w:val="32"/>
          <w:szCs w:val="22"/>
          <w:lang w:eastAsia="zh-CN"/>
        </w:rPr>
        <w:t>万元；202</w:t>
      </w:r>
      <w:r>
        <w:rPr>
          <w:rFonts w:hint="default" w:ascii="Times New Roman" w:hAnsi="Times New Roman" w:eastAsia="方正仿宋_GBK" w:cs="Times New Roman"/>
          <w:color w:val="auto"/>
          <w:sz w:val="32"/>
          <w:szCs w:val="22"/>
          <w:lang w:val="en-US" w:eastAsia="zh-CN"/>
        </w:rPr>
        <w:t>5</w:t>
      </w:r>
      <w:r>
        <w:rPr>
          <w:rFonts w:hint="default" w:ascii="Times New Roman" w:hAnsi="Times New Roman" w:eastAsia="方正仿宋_GBK" w:cs="Times New Roman"/>
          <w:color w:val="auto"/>
          <w:sz w:val="32"/>
          <w:szCs w:val="22"/>
          <w:lang w:eastAsia="zh-CN"/>
        </w:rPr>
        <w:t>年实际决算支出</w:t>
      </w:r>
      <w:r>
        <w:rPr>
          <w:rFonts w:hint="default" w:ascii="Times New Roman" w:hAnsi="Times New Roman" w:eastAsia="方正仿宋_GBK" w:cs="Times New Roman"/>
          <w:color w:val="auto"/>
          <w:sz w:val="32"/>
          <w:szCs w:val="22"/>
          <w:lang w:eastAsia="zh-CN"/>
        </w:rPr>
        <w:t>3660.11</w:t>
      </w:r>
      <w:r>
        <w:rPr>
          <w:rFonts w:hint="default" w:ascii="Times New Roman" w:hAnsi="Times New Roman" w:eastAsia="方正仿宋_GBK" w:cs="Times New Roman"/>
          <w:color w:val="auto"/>
          <w:sz w:val="32"/>
          <w:szCs w:val="22"/>
          <w:lang w:eastAsia="zh-CN"/>
        </w:rPr>
        <w:t>万元。</w:t>
      </w:r>
    </w:p>
    <w:p w14:paraId="01390A3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22"/>
          <w:lang w:eastAsia="zh-CN"/>
        </w:rPr>
      </w:pPr>
      <w:r>
        <w:rPr>
          <w:rFonts w:hint="default" w:ascii="Times New Roman" w:hAnsi="Times New Roman" w:eastAsia="方正仿宋_GBK" w:cs="Times New Roman"/>
          <w:color w:val="auto"/>
          <w:sz w:val="32"/>
          <w:szCs w:val="22"/>
          <w:lang w:eastAsia="zh-CN"/>
        </w:rPr>
        <w:t>202</w:t>
      </w:r>
      <w:r>
        <w:rPr>
          <w:rFonts w:hint="default" w:ascii="Times New Roman" w:hAnsi="Times New Roman" w:eastAsia="方正仿宋_GBK" w:cs="Times New Roman"/>
          <w:color w:val="auto"/>
          <w:sz w:val="32"/>
          <w:szCs w:val="22"/>
          <w:lang w:val="en-US" w:eastAsia="zh-CN"/>
        </w:rPr>
        <w:t>5</w:t>
      </w:r>
      <w:r>
        <w:rPr>
          <w:rFonts w:hint="default" w:ascii="Times New Roman" w:hAnsi="Times New Roman" w:eastAsia="方正仿宋_GBK" w:cs="Times New Roman"/>
          <w:color w:val="auto"/>
          <w:sz w:val="32"/>
          <w:szCs w:val="22"/>
          <w:lang w:eastAsia="zh-CN"/>
        </w:rPr>
        <w:t>年决算总支出</w:t>
      </w:r>
      <w:r>
        <w:rPr>
          <w:rFonts w:hint="default" w:ascii="Times New Roman" w:hAnsi="Times New Roman" w:eastAsia="方正仿宋_GBK" w:cs="Times New Roman"/>
          <w:color w:val="auto"/>
          <w:sz w:val="32"/>
          <w:szCs w:val="22"/>
          <w:lang w:eastAsia="zh-CN"/>
        </w:rPr>
        <w:t>3660.11</w:t>
      </w:r>
      <w:r>
        <w:rPr>
          <w:rFonts w:hint="default" w:ascii="Times New Roman" w:hAnsi="Times New Roman" w:eastAsia="方正仿宋_GBK" w:cs="Times New Roman"/>
          <w:color w:val="auto"/>
          <w:sz w:val="32"/>
          <w:szCs w:val="22"/>
          <w:lang w:eastAsia="zh-CN"/>
        </w:rPr>
        <w:t>万元。按支出功能分类，其中：基本支出</w:t>
      </w:r>
      <w:r>
        <w:rPr>
          <w:rFonts w:hint="default" w:ascii="Times New Roman" w:hAnsi="Times New Roman" w:eastAsia="方正仿宋_GBK" w:cs="Times New Roman"/>
          <w:color w:val="auto"/>
          <w:sz w:val="32"/>
          <w:szCs w:val="22"/>
          <w:lang w:eastAsia="zh-CN"/>
        </w:rPr>
        <w:t>2862.87</w:t>
      </w:r>
      <w:r>
        <w:rPr>
          <w:rFonts w:hint="default" w:ascii="Times New Roman" w:hAnsi="Times New Roman" w:eastAsia="方正仿宋_GBK" w:cs="Times New Roman"/>
          <w:color w:val="auto"/>
          <w:sz w:val="32"/>
          <w:szCs w:val="22"/>
          <w:lang w:eastAsia="zh-CN"/>
        </w:rPr>
        <w:t>万元、项目支出</w:t>
      </w:r>
      <w:r>
        <w:rPr>
          <w:rFonts w:hint="default" w:ascii="Times New Roman" w:hAnsi="Times New Roman" w:eastAsia="方正仿宋_GBK" w:cs="Times New Roman"/>
          <w:color w:val="auto"/>
          <w:sz w:val="32"/>
          <w:szCs w:val="22"/>
          <w:lang w:eastAsia="zh-CN"/>
        </w:rPr>
        <w:t>797.2</w:t>
      </w:r>
      <w:r>
        <w:rPr>
          <w:rFonts w:hint="default" w:ascii="Times New Roman" w:hAnsi="Times New Roman" w:eastAsia="方正仿宋_GBK" w:cs="Times New Roman"/>
          <w:color w:val="auto"/>
          <w:sz w:val="32"/>
          <w:szCs w:val="22"/>
          <w:lang w:val="en-US" w:eastAsia="zh-CN"/>
        </w:rPr>
        <w:t>4</w:t>
      </w:r>
      <w:r>
        <w:rPr>
          <w:rFonts w:hint="default" w:ascii="Times New Roman" w:hAnsi="Times New Roman" w:eastAsia="方正仿宋_GBK" w:cs="Times New Roman"/>
          <w:color w:val="auto"/>
          <w:sz w:val="32"/>
          <w:szCs w:val="22"/>
          <w:lang w:eastAsia="zh-CN"/>
        </w:rPr>
        <w:t>万元；按经济用途分类，其中：工资福利支出</w:t>
      </w:r>
      <w:r>
        <w:rPr>
          <w:rFonts w:hint="default" w:ascii="Times New Roman" w:hAnsi="Times New Roman" w:eastAsia="方正仿宋_GBK" w:cs="Times New Roman"/>
          <w:color w:val="auto"/>
          <w:sz w:val="32"/>
          <w:szCs w:val="22"/>
          <w:lang w:val="en-US" w:eastAsia="zh-CN"/>
        </w:rPr>
        <w:t>2381.89</w:t>
      </w:r>
      <w:r>
        <w:rPr>
          <w:rFonts w:hint="default" w:ascii="Times New Roman" w:hAnsi="Times New Roman" w:eastAsia="方正仿宋_GBK" w:cs="Times New Roman"/>
          <w:color w:val="auto"/>
          <w:sz w:val="32"/>
          <w:szCs w:val="22"/>
          <w:lang w:eastAsia="zh-CN"/>
        </w:rPr>
        <w:t>万元、商品和服务支出</w:t>
      </w:r>
      <w:r>
        <w:rPr>
          <w:rFonts w:hint="default" w:ascii="Times New Roman" w:hAnsi="Times New Roman" w:eastAsia="方正仿宋_GBK" w:cs="Times New Roman"/>
          <w:color w:val="auto"/>
          <w:sz w:val="32"/>
          <w:szCs w:val="22"/>
          <w:lang w:val="en-US" w:eastAsia="zh-CN"/>
        </w:rPr>
        <w:t>885.39</w:t>
      </w:r>
      <w:r>
        <w:rPr>
          <w:rFonts w:hint="default" w:ascii="Times New Roman" w:hAnsi="Times New Roman" w:eastAsia="方正仿宋_GBK" w:cs="Times New Roman"/>
          <w:color w:val="auto"/>
          <w:sz w:val="32"/>
          <w:szCs w:val="22"/>
          <w:lang w:eastAsia="zh-CN"/>
        </w:rPr>
        <w:t>万元，对个人和家庭的补助</w:t>
      </w:r>
      <w:r>
        <w:rPr>
          <w:rFonts w:hint="default" w:ascii="Times New Roman" w:hAnsi="Times New Roman" w:eastAsia="方正仿宋_GBK" w:cs="Times New Roman"/>
          <w:color w:val="auto"/>
          <w:sz w:val="32"/>
          <w:szCs w:val="22"/>
          <w:lang w:val="en-US" w:eastAsia="zh-CN"/>
        </w:rPr>
        <w:t>333.22</w:t>
      </w:r>
      <w:r>
        <w:rPr>
          <w:rFonts w:hint="default" w:ascii="Times New Roman" w:hAnsi="Times New Roman" w:eastAsia="方正仿宋_GBK" w:cs="Times New Roman"/>
          <w:color w:val="auto"/>
          <w:sz w:val="32"/>
          <w:szCs w:val="22"/>
          <w:lang w:eastAsia="zh-CN"/>
        </w:rPr>
        <w:t>万元，资本性支出</w:t>
      </w:r>
      <w:r>
        <w:rPr>
          <w:rFonts w:hint="default" w:ascii="Times New Roman" w:hAnsi="Times New Roman" w:eastAsia="方正仿宋_GBK" w:cs="Times New Roman"/>
          <w:color w:val="auto"/>
          <w:sz w:val="32"/>
          <w:szCs w:val="22"/>
          <w:lang w:val="en-US" w:eastAsia="zh-CN"/>
        </w:rPr>
        <w:t>59.61</w:t>
      </w:r>
      <w:r>
        <w:rPr>
          <w:rFonts w:hint="default" w:ascii="Times New Roman" w:hAnsi="Times New Roman" w:eastAsia="方正仿宋_GBK" w:cs="Times New Roman"/>
          <w:color w:val="auto"/>
          <w:sz w:val="32"/>
          <w:szCs w:val="22"/>
          <w:lang w:eastAsia="zh-CN"/>
        </w:rPr>
        <w:t>万元。</w:t>
      </w:r>
    </w:p>
    <w:p w14:paraId="1F459EC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22"/>
          <w:lang w:val="zh-CN" w:eastAsia="zh-CN"/>
        </w:rPr>
      </w:pPr>
      <w:r>
        <w:rPr>
          <w:rFonts w:hint="default" w:ascii="Times New Roman" w:hAnsi="Times New Roman" w:eastAsia="方正仿宋_GBK" w:cs="Times New Roman"/>
          <w:color w:val="auto"/>
          <w:sz w:val="32"/>
          <w:szCs w:val="22"/>
          <w:lang w:val="zh-CN" w:eastAsia="zh-CN"/>
        </w:rPr>
        <w:t>202</w:t>
      </w:r>
      <w:r>
        <w:rPr>
          <w:rFonts w:hint="default" w:ascii="Times New Roman" w:hAnsi="Times New Roman" w:eastAsia="方正仿宋_GBK" w:cs="Times New Roman"/>
          <w:color w:val="auto"/>
          <w:sz w:val="32"/>
          <w:szCs w:val="22"/>
          <w:lang w:val="en-US" w:eastAsia="zh-CN"/>
        </w:rPr>
        <w:t>5</w:t>
      </w:r>
      <w:r>
        <w:rPr>
          <w:rFonts w:hint="default" w:ascii="Times New Roman" w:hAnsi="Times New Roman" w:eastAsia="方正仿宋_GBK" w:cs="Times New Roman"/>
          <w:color w:val="auto"/>
          <w:sz w:val="32"/>
          <w:szCs w:val="22"/>
          <w:lang w:val="zh-CN" w:eastAsia="zh-CN"/>
        </w:rPr>
        <w:t>年，“三公经费”调整后预算数为</w:t>
      </w:r>
      <w:r>
        <w:rPr>
          <w:rFonts w:hint="default" w:ascii="Times New Roman" w:hAnsi="Times New Roman" w:eastAsia="方正仿宋_GBK" w:cs="Times New Roman"/>
          <w:color w:val="auto"/>
          <w:sz w:val="32"/>
          <w:szCs w:val="22"/>
          <w:lang w:val="en-US" w:eastAsia="zh-CN"/>
        </w:rPr>
        <w:t>637.48</w:t>
      </w:r>
      <w:r>
        <w:rPr>
          <w:rFonts w:hint="default" w:ascii="Times New Roman" w:hAnsi="Times New Roman" w:eastAsia="方正仿宋_GBK" w:cs="Times New Roman"/>
          <w:color w:val="auto"/>
          <w:sz w:val="32"/>
          <w:szCs w:val="22"/>
          <w:lang w:val="zh-CN" w:eastAsia="zh-CN"/>
        </w:rPr>
        <w:t>万元，决算支出数为</w:t>
      </w:r>
      <w:r>
        <w:rPr>
          <w:rFonts w:hint="default" w:ascii="Times New Roman" w:hAnsi="Times New Roman" w:eastAsia="方正仿宋_GBK" w:cs="Times New Roman"/>
          <w:color w:val="auto"/>
          <w:sz w:val="32"/>
          <w:szCs w:val="22"/>
          <w:lang w:val="en-US" w:eastAsia="zh-CN"/>
        </w:rPr>
        <w:t>632.95</w:t>
      </w:r>
      <w:r>
        <w:rPr>
          <w:rFonts w:hint="default" w:ascii="Times New Roman" w:hAnsi="Times New Roman" w:eastAsia="方正仿宋_GBK" w:cs="Times New Roman"/>
          <w:color w:val="auto"/>
          <w:sz w:val="32"/>
          <w:szCs w:val="22"/>
          <w:lang w:val="zh-CN" w:eastAsia="zh-CN"/>
        </w:rPr>
        <w:t>万元，实际执行占预算</w:t>
      </w:r>
      <w:r>
        <w:rPr>
          <w:rFonts w:hint="default" w:ascii="Times New Roman" w:hAnsi="Times New Roman" w:eastAsia="方正仿宋_GBK" w:cs="Times New Roman"/>
          <w:color w:val="auto"/>
          <w:sz w:val="32"/>
          <w:szCs w:val="22"/>
          <w:lang w:val="en-US" w:eastAsia="zh-CN"/>
        </w:rPr>
        <w:t>99.29</w:t>
      </w:r>
      <w:r>
        <w:rPr>
          <w:rFonts w:hint="default" w:ascii="Times New Roman" w:hAnsi="Times New Roman" w:eastAsia="方正仿宋_GBK" w:cs="Times New Roman"/>
          <w:color w:val="auto"/>
          <w:sz w:val="32"/>
          <w:szCs w:val="22"/>
          <w:lang w:val="zh-CN" w:eastAsia="zh-CN"/>
        </w:rPr>
        <w:t>%。“三公经费”预算与执行情况如表1：</w:t>
      </w:r>
    </w:p>
    <w:p w14:paraId="360B738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eastAsia="zh-CN"/>
        </w:rPr>
      </w:pPr>
      <w:r>
        <w:rPr>
          <w:rFonts w:hint="default" w:ascii="Times New Roman" w:hAnsi="Times New Roman" w:eastAsia="方正仿宋_GBK" w:cs="Times New Roman"/>
          <w:color w:val="auto"/>
          <w:sz w:val="32"/>
          <w:szCs w:val="22"/>
          <w:lang w:eastAsia="zh-CN"/>
        </w:rPr>
        <w:t>表1：“三公经费”预算与执行情况表</w:t>
      </w:r>
    </w:p>
    <w:tbl>
      <w:tblPr>
        <w:tblStyle w:val="13"/>
        <w:tblW w:w="5133" w:type="pct"/>
        <w:jc w:val="center"/>
        <w:tblLayout w:type="fixed"/>
        <w:tblCellMar>
          <w:top w:w="0" w:type="dxa"/>
          <w:left w:w="108" w:type="dxa"/>
          <w:bottom w:w="0" w:type="dxa"/>
          <w:right w:w="108" w:type="dxa"/>
        </w:tblCellMar>
      </w:tblPr>
      <w:tblGrid>
        <w:gridCol w:w="3087"/>
        <w:gridCol w:w="3421"/>
        <w:gridCol w:w="2676"/>
      </w:tblGrid>
      <w:tr w14:paraId="22A99722">
        <w:tblPrEx>
          <w:tblCellMar>
            <w:top w:w="0" w:type="dxa"/>
            <w:left w:w="108" w:type="dxa"/>
            <w:bottom w:w="0" w:type="dxa"/>
            <w:right w:w="108" w:type="dxa"/>
          </w:tblCellMar>
        </w:tblPrEx>
        <w:trPr>
          <w:trHeight w:val="285" w:hRule="atLeast"/>
          <w:jc w:val="center"/>
        </w:trPr>
        <w:tc>
          <w:tcPr>
            <w:tcW w:w="1680" w:type="pct"/>
            <w:tcBorders>
              <w:top w:val="single" w:color="auto" w:sz="4" w:space="0"/>
              <w:left w:val="single" w:color="auto" w:sz="4" w:space="0"/>
              <w:bottom w:val="single" w:color="auto" w:sz="4" w:space="0"/>
              <w:right w:val="single" w:color="auto" w:sz="4" w:space="0"/>
            </w:tcBorders>
            <w:shd w:val="clear" w:color="000000" w:fill="FFFFFF"/>
            <w:vAlign w:val="center"/>
          </w:tcPr>
          <w:p w14:paraId="479360A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eastAsia="zh-CN"/>
              </w:rPr>
            </w:pPr>
            <w:r>
              <w:rPr>
                <w:rFonts w:hint="default" w:ascii="Times New Roman" w:hAnsi="Times New Roman" w:eastAsia="方正仿宋_GBK" w:cs="Times New Roman"/>
                <w:color w:val="auto"/>
                <w:sz w:val="32"/>
                <w:szCs w:val="22"/>
                <w:lang w:eastAsia="zh-CN"/>
              </w:rPr>
              <w:t>项目</w:t>
            </w:r>
          </w:p>
        </w:tc>
        <w:tc>
          <w:tcPr>
            <w:tcW w:w="1862" w:type="pct"/>
            <w:tcBorders>
              <w:top w:val="single" w:color="auto" w:sz="4" w:space="0"/>
              <w:left w:val="nil"/>
              <w:bottom w:val="single" w:color="auto" w:sz="4" w:space="0"/>
              <w:right w:val="single" w:color="auto" w:sz="4" w:space="0"/>
            </w:tcBorders>
            <w:shd w:val="clear" w:color="000000" w:fill="FFFFFF"/>
            <w:noWrap/>
            <w:vAlign w:val="center"/>
          </w:tcPr>
          <w:p w14:paraId="0975B86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eastAsia="zh-CN"/>
              </w:rPr>
            </w:pPr>
            <w:r>
              <w:rPr>
                <w:rFonts w:hint="default" w:ascii="Times New Roman" w:hAnsi="Times New Roman" w:eastAsia="方正仿宋_GBK" w:cs="Times New Roman"/>
                <w:color w:val="auto"/>
                <w:sz w:val="32"/>
                <w:szCs w:val="22"/>
                <w:lang w:eastAsia="zh-CN"/>
              </w:rPr>
              <w:t>调整后预算数(万元)</w:t>
            </w:r>
          </w:p>
        </w:tc>
        <w:tc>
          <w:tcPr>
            <w:tcW w:w="1457" w:type="pct"/>
            <w:tcBorders>
              <w:top w:val="single" w:color="auto" w:sz="4" w:space="0"/>
              <w:left w:val="nil"/>
              <w:bottom w:val="single" w:color="auto" w:sz="4" w:space="0"/>
              <w:right w:val="single" w:color="auto" w:sz="4" w:space="0"/>
            </w:tcBorders>
            <w:shd w:val="clear" w:color="000000" w:fill="FFFFFF"/>
            <w:noWrap/>
            <w:vAlign w:val="center"/>
          </w:tcPr>
          <w:p w14:paraId="60E20D2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eastAsia="zh-CN"/>
              </w:rPr>
            </w:pPr>
            <w:r>
              <w:rPr>
                <w:rFonts w:hint="default" w:ascii="Times New Roman" w:hAnsi="Times New Roman" w:eastAsia="方正仿宋_GBK" w:cs="Times New Roman"/>
                <w:color w:val="auto"/>
                <w:sz w:val="32"/>
                <w:szCs w:val="22"/>
                <w:lang w:eastAsia="zh-CN"/>
              </w:rPr>
              <w:t>决算数(万元)</w:t>
            </w:r>
          </w:p>
        </w:tc>
      </w:tr>
      <w:tr w14:paraId="406D5F65">
        <w:tblPrEx>
          <w:tblCellMar>
            <w:top w:w="0" w:type="dxa"/>
            <w:left w:w="108" w:type="dxa"/>
            <w:bottom w:w="0" w:type="dxa"/>
            <w:right w:w="108" w:type="dxa"/>
          </w:tblCellMar>
        </w:tblPrEx>
        <w:trPr>
          <w:trHeight w:val="561" w:hRule="exact"/>
          <w:jc w:val="center"/>
        </w:trPr>
        <w:tc>
          <w:tcPr>
            <w:tcW w:w="1680" w:type="pct"/>
            <w:tcBorders>
              <w:top w:val="nil"/>
              <w:left w:val="single" w:color="auto" w:sz="4" w:space="0"/>
              <w:bottom w:val="single" w:color="auto" w:sz="4" w:space="0"/>
              <w:right w:val="single" w:color="auto" w:sz="4" w:space="0"/>
            </w:tcBorders>
            <w:shd w:val="clear" w:color="000000" w:fill="FFFFFF"/>
            <w:noWrap/>
            <w:vAlign w:val="center"/>
          </w:tcPr>
          <w:p w14:paraId="3921865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zh-CN" w:eastAsia="zh-CN"/>
              </w:rPr>
            </w:pPr>
            <w:r>
              <w:rPr>
                <w:rFonts w:hint="default" w:ascii="Times New Roman" w:hAnsi="Times New Roman" w:eastAsia="方正仿宋_GBK" w:cs="Times New Roman"/>
                <w:color w:val="auto"/>
                <w:sz w:val="32"/>
                <w:szCs w:val="22"/>
                <w:lang w:val="zh-CN" w:eastAsia="zh-CN"/>
              </w:rPr>
              <w:t>因公出国（境）费</w:t>
            </w:r>
          </w:p>
        </w:tc>
        <w:tc>
          <w:tcPr>
            <w:tcW w:w="1862" w:type="pct"/>
            <w:tcBorders>
              <w:top w:val="nil"/>
              <w:left w:val="nil"/>
              <w:bottom w:val="single" w:color="auto" w:sz="4" w:space="0"/>
              <w:right w:val="single" w:color="auto" w:sz="4" w:space="0"/>
            </w:tcBorders>
            <w:shd w:val="clear" w:color="000000" w:fill="FFFFFF"/>
            <w:vAlign w:val="center"/>
          </w:tcPr>
          <w:p w14:paraId="0531ADD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569.31</w:t>
            </w:r>
          </w:p>
        </w:tc>
        <w:tc>
          <w:tcPr>
            <w:tcW w:w="1457" w:type="pct"/>
            <w:tcBorders>
              <w:top w:val="nil"/>
              <w:left w:val="nil"/>
              <w:bottom w:val="single" w:color="auto" w:sz="4" w:space="0"/>
              <w:right w:val="single" w:color="auto" w:sz="4" w:space="0"/>
            </w:tcBorders>
            <w:shd w:val="clear" w:color="000000" w:fill="FFFFFF"/>
            <w:vAlign w:val="center"/>
          </w:tcPr>
          <w:p w14:paraId="5C921B8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569.31</w:t>
            </w:r>
          </w:p>
        </w:tc>
      </w:tr>
      <w:tr w14:paraId="25A6C770">
        <w:tblPrEx>
          <w:tblCellMar>
            <w:top w:w="0" w:type="dxa"/>
            <w:left w:w="108" w:type="dxa"/>
            <w:bottom w:w="0" w:type="dxa"/>
            <w:right w:w="108" w:type="dxa"/>
          </w:tblCellMar>
        </w:tblPrEx>
        <w:trPr>
          <w:trHeight w:val="572" w:hRule="exact"/>
          <w:jc w:val="center"/>
        </w:trPr>
        <w:tc>
          <w:tcPr>
            <w:tcW w:w="1680" w:type="pct"/>
            <w:tcBorders>
              <w:top w:val="nil"/>
              <w:left w:val="single" w:color="auto" w:sz="4" w:space="0"/>
              <w:bottom w:val="single" w:color="auto" w:sz="4" w:space="0"/>
              <w:right w:val="single" w:color="auto" w:sz="4" w:space="0"/>
            </w:tcBorders>
            <w:shd w:val="clear" w:color="000000" w:fill="FFFFFF"/>
            <w:noWrap/>
            <w:vAlign w:val="center"/>
          </w:tcPr>
          <w:p w14:paraId="77980DE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zh-CN" w:eastAsia="zh-CN"/>
              </w:rPr>
            </w:pPr>
            <w:r>
              <w:rPr>
                <w:rFonts w:hint="default" w:ascii="Times New Roman" w:hAnsi="Times New Roman" w:eastAsia="方正仿宋_GBK" w:cs="Times New Roman"/>
                <w:color w:val="auto"/>
                <w:sz w:val="32"/>
                <w:szCs w:val="22"/>
                <w:lang w:val="zh-CN" w:eastAsia="zh-CN"/>
              </w:rPr>
              <w:t>公务接待费</w:t>
            </w:r>
          </w:p>
        </w:tc>
        <w:tc>
          <w:tcPr>
            <w:tcW w:w="1862" w:type="pct"/>
            <w:tcBorders>
              <w:top w:val="nil"/>
              <w:left w:val="nil"/>
              <w:bottom w:val="single" w:color="auto" w:sz="4" w:space="0"/>
              <w:right w:val="single" w:color="auto" w:sz="4" w:space="0"/>
            </w:tcBorders>
            <w:shd w:val="clear" w:color="000000" w:fill="FFFFFF"/>
            <w:vAlign w:val="center"/>
          </w:tcPr>
          <w:p w14:paraId="12A70E5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65</w:t>
            </w:r>
          </w:p>
        </w:tc>
        <w:tc>
          <w:tcPr>
            <w:tcW w:w="1457" w:type="pct"/>
            <w:tcBorders>
              <w:top w:val="nil"/>
              <w:left w:val="nil"/>
              <w:bottom w:val="single" w:color="auto" w:sz="4" w:space="0"/>
              <w:right w:val="single" w:color="auto" w:sz="4" w:space="0"/>
            </w:tcBorders>
            <w:shd w:val="clear" w:color="000000" w:fill="FFFFFF"/>
            <w:vAlign w:val="center"/>
          </w:tcPr>
          <w:p w14:paraId="219F91D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60.47</w:t>
            </w:r>
          </w:p>
        </w:tc>
      </w:tr>
      <w:tr w14:paraId="236A80D5">
        <w:tblPrEx>
          <w:tblCellMar>
            <w:top w:w="0" w:type="dxa"/>
            <w:left w:w="108" w:type="dxa"/>
            <w:bottom w:w="0" w:type="dxa"/>
            <w:right w:w="108" w:type="dxa"/>
          </w:tblCellMar>
        </w:tblPrEx>
        <w:trPr>
          <w:trHeight w:val="1232" w:hRule="exact"/>
          <w:jc w:val="center"/>
        </w:trPr>
        <w:tc>
          <w:tcPr>
            <w:tcW w:w="1680" w:type="pct"/>
            <w:tcBorders>
              <w:top w:val="nil"/>
              <w:left w:val="single" w:color="auto" w:sz="4" w:space="0"/>
              <w:bottom w:val="single" w:color="auto" w:sz="4" w:space="0"/>
              <w:right w:val="single" w:color="auto" w:sz="4" w:space="0"/>
            </w:tcBorders>
            <w:shd w:val="clear" w:color="000000" w:fill="FFFFFF"/>
            <w:noWrap/>
            <w:vAlign w:val="center"/>
          </w:tcPr>
          <w:p w14:paraId="611553E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zh-CN" w:eastAsia="zh-CN"/>
              </w:rPr>
            </w:pPr>
            <w:r>
              <w:rPr>
                <w:rFonts w:hint="default" w:ascii="Times New Roman" w:hAnsi="Times New Roman" w:eastAsia="方正仿宋_GBK" w:cs="Times New Roman"/>
                <w:color w:val="auto"/>
                <w:sz w:val="32"/>
                <w:szCs w:val="22"/>
                <w:lang w:val="zh-CN" w:eastAsia="zh-CN"/>
              </w:rPr>
              <w:t>公务车辆购置及运行费</w:t>
            </w:r>
          </w:p>
        </w:tc>
        <w:tc>
          <w:tcPr>
            <w:tcW w:w="1862" w:type="pct"/>
            <w:tcBorders>
              <w:top w:val="nil"/>
              <w:left w:val="nil"/>
              <w:bottom w:val="single" w:color="auto" w:sz="4" w:space="0"/>
              <w:right w:val="single" w:color="auto" w:sz="4" w:space="0"/>
            </w:tcBorders>
            <w:shd w:val="clear" w:color="000000" w:fill="FFFFFF"/>
            <w:vAlign w:val="center"/>
          </w:tcPr>
          <w:p w14:paraId="1A24B2E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3.17</w:t>
            </w:r>
          </w:p>
        </w:tc>
        <w:tc>
          <w:tcPr>
            <w:tcW w:w="1457" w:type="pct"/>
            <w:tcBorders>
              <w:top w:val="nil"/>
              <w:left w:val="nil"/>
              <w:bottom w:val="single" w:color="auto" w:sz="4" w:space="0"/>
              <w:right w:val="single" w:color="auto" w:sz="4" w:space="0"/>
            </w:tcBorders>
            <w:shd w:val="clear" w:color="000000" w:fill="FFFFFF"/>
            <w:vAlign w:val="center"/>
          </w:tcPr>
          <w:p w14:paraId="238A1BC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3.17</w:t>
            </w:r>
          </w:p>
        </w:tc>
      </w:tr>
      <w:tr w14:paraId="585177D0">
        <w:tblPrEx>
          <w:tblCellMar>
            <w:top w:w="0" w:type="dxa"/>
            <w:left w:w="108" w:type="dxa"/>
            <w:bottom w:w="0" w:type="dxa"/>
            <w:right w:w="108" w:type="dxa"/>
          </w:tblCellMar>
        </w:tblPrEx>
        <w:trPr>
          <w:trHeight w:val="510" w:hRule="exact"/>
          <w:jc w:val="center"/>
        </w:trPr>
        <w:tc>
          <w:tcPr>
            <w:tcW w:w="1680" w:type="pct"/>
            <w:tcBorders>
              <w:top w:val="nil"/>
              <w:left w:val="single" w:color="auto" w:sz="4" w:space="0"/>
              <w:bottom w:val="single" w:color="auto" w:sz="4" w:space="0"/>
              <w:right w:val="single" w:color="auto" w:sz="4" w:space="0"/>
            </w:tcBorders>
            <w:shd w:val="clear" w:color="000000" w:fill="FFFFFF"/>
            <w:noWrap/>
            <w:vAlign w:val="center"/>
          </w:tcPr>
          <w:p w14:paraId="551EC00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zh-CN" w:eastAsia="zh-CN"/>
              </w:rPr>
            </w:pPr>
            <w:r>
              <w:rPr>
                <w:rFonts w:hint="default" w:ascii="Times New Roman" w:hAnsi="Times New Roman" w:eastAsia="方正仿宋_GBK" w:cs="Times New Roman"/>
                <w:color w:val="auto"/>
                <w:sz w:val="32"/>
                <w:szCs w:val="22"/>
                <w:lang w:val="zh-CN" w:eastAsia="zh-CN"/>
              </w:rPr>
              <w:t>合 计</w:t>
            </w:r>
          </w:p>
        </w:tc>
        <w:tc>
          <w:tcPr>
            <w:tcW w:w="1862" w:type="pct"/>
            <w:tcBorders>
              <w:top w:val="nil"/>
              <w:left w:val="nil"/>
              <w:bottom w:val="single" w:color="auto" w:sz="4" w:space="0"/>
              <w:right w:val="single" w:color="auto" w:sz="4" w:space="0"/>
            </w:tcBorders>
            <w:shd w:val="clear" w:color="000000" w:fill="FFFFFF"/>
            <w:vAlign w:val="center"/>
          </w:tcPr>
          <w:p w14:paraId="6070EB0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637.48</w:t>
            </w:r>
          </w:p>
        </w:tc>
        <w:tc>
          <w:tcPr>
            <w:tcW w:w="1457" w:type="pct"/>
            <w:tcBorders>
              <w:top w:val="nil"/>
              <w:left w:val="nil"/>
              <w:bottom w:val="single" w:color="auto" w:sz="4" w:space="0"/>
              <w:right w:val="single" w:color="auto" w:sz="4" w:space="0"/>
            </w:tcBorders>
            <w:shd w:val="clear" w:color="000000" w:fill="FFFFFF"/>
            <w:vAlign w:val="center"/>
          </w:tcPr>
          <w:p w14:paraId="5E6D10A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auto"/>
                <w:sz w:val="32"/>
                <w:szCs w:val="22"/>
                <w:lang w:val="en-US" w:eastAsia="zh-CN"/>
              </w:rPr>
            </w:pPr>
            <w:r>
              <w:rPr>
                <w:rFonts w:hint="default" w:ascii="Times New Roman" w:hAnsi="Times New Roman" w:eastAsia="方正仿宋_GBK" w:cs="Times New Roman"/>
                <w:color w:val="auto"/>
                <w:sz w:val="32"/>
                <w:szCs w:val="22"/>
                <w:lang w:val="en-US" w:eastAsia="zh-CN"/>
              </w:rPr>
              <w:t>632.95</w:t>
            </w:r>
          </w:p>
        </w:tc>
      </w:tr>
    </w:tbl>
    <w:p w14:paraId="10190ECF">
      <w:pPr>
        <w:pStyle w:val="12"/>
        <w:keepNext w:val="0"/>
        <w:keepLines w:val="0"/>
        <w:widowControl/>
        <w:suppressLineNumbers w:val="0"/>
        <w:spacing w:before="0" w:beforeAutospacing="0" w:after="0" w:afterAutospacing="0" w:line="520" w:lineRule="exact"/>
        <w:ind w:left="0" w:right="0" w:firstLine="420"/>
        <w:jc w:val="both"/>
        <w:rPr>
          <w:rFonts w:hint="default" w:ascii="方正楷体_GBK" w:hAnsi="方正楷体_GBK" w:eastAsia="方正楷体_GBK" w:cs="方正楷体_GBK"/>
          <w:b/>
          <w:bCs/>
          <w:i w:val="0"/>
          <w:iCs w:val="0"/>
          <w:color w:val="auto"/>
          <w:spacing w:val="0"/>
          <w:w w:val="100"/>
          <w:sz w:val="32"/>
          <w:szCs w:val="32"/>
          <w:vertAlign w:val="baseline"/>
        </w:rPr>
      </w:pPr>
      <w:r>
        <w:rPr>
          <w:rFonts w:hint="default" w:ascii="方正楷体_GBK" w:hAnsi="方正楷体_GBK" w:eastAsia="方正楷体_GBK" w:cs="方正楷体_GBK"/>
          <w:b/>
          <w:bCs/>
          <w:i w:val="0"/>
          <w:iCs w:val="0"/>
          <w:color w:val="auto"/>
          <w:spacing w:val="0"/>
          <w:w w:val="100"/>
          <w:sz w:val="32"/>
          <w:szCs w:val="32"/>
          <w:vertAlign w:val="baseline"/>
        </w:rPr>
        <w:t>（三）部门（单位）绩效目标</w:t>
      </w:r>
    </w:p>
    <w:p w14:paraId="21645A37">
      <w:pPr>
        <w:autoSpaceDE w:val="0"/>
        <w:autoSpaceDN w:val="0"/>
        <w:spacing w:line="540" w:lineRule="exact"/>
        <w:ind w:firstLine="640" w:firstLineChars="200"/>
        <w:jc w:val="left"/>
        <w:rPr>
          <w:rFonts w:hint="default" w:ascii="Times New Roman" w:hAnsi="Times New Roman" w:eastAsia="方正仿宋_GBK" w:cs="Times New Roman"/>
          <w:b/>
          <w:color w:val="auto"/>
          <w:sz w:val="32"/>
          <w:szCs w:val="32"/>
          <w:lang w:val="zh-CN" w:bidi="zh-CN"/>
        </w:rPr>
      </w:pPr>
      <w:r>
        <w:rPr>
          <w:rFonts w:hint="default" w:ascii="Times New Roman" w:hAnsi="Times New Roman" w:eastAsia="方正仿宋_GBK" w:cs="Times New Roman"/>
          <w:b/>
          <w:color w:val="auto"/>
          <w:sz w:val="32"/>
          <w:szCs w:val="32"/>
          <w:lang w:val="zh-CN" w:bidi="zh-CN"/>
        </w:rPr>
        <w:t>1.部门战略目标</w:t>
      </w:r>
    </w:p>
    <w:p w14:paraId="69BC0FC6">
      <w:pPr>
        <w:autoSpaceDE w:val="0"/>
        <w:autoSpaceDN w:val="0"/>
        <w:spacing w:line="540" w:lineRule="exact"/>
        <w:ind w:firstLine="640" w:firstLineChars="200"/>
        <w:jc w:val="left"/>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服务国家总体外交，提升南京国际化建设水平，推动友城交流合作。</w:t>
      </w:r>
    </w:p>
    <w:p w14:paraId="04FF24CF">
      <w:pPr>
        <w:autoSpaceDE w:val="0"/>
        <w:autoSpaceDN w:val="0"/>
        <w:spacing w:line="540" w:lineRule="exact"/>
        <w:ind w:firstLine="640" w:firstLineChars="200"/>
        <w:jc w:val="left"/>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b/>
          <w:color w:val="auto"/>
          <w:sz w:val="32"/>
          <w:szCs w:val="32"/>
          <w:lang w:val="zh-CN" w:bidi="zh-CN"/>
        </w:rPr>
        <w:t>2.中长期目标</w:t>
      </w:r>
    </w:p>
    <w:p w14:paraId="2BC255F5">
      <w:pPr>
        <w:autoSpaceDE w:val="0"/>
        <w:autoSpaceDN w:val="0"/>
        <w:spacing w:line="540" w:lineRule="exact"/>
        <w:ind w:firstLine="640" w:firstLineChars="200"/>
        <w:jc w:val="left"/>
        <w:outlineLvl w:val="0"/>
        <w:rPr>
          <w:rFonts w:hint="default" w:ascii="Times New Roman" w:hAnsi="Times New Roman" w:eastAsia="方正仿宋_GBK" w:cs="Times New Roman"/>
          <w:b w:val="0"/>
          <w:bCs/>
          <w:color w:val="auto"/>
          <w:sz w:val="32"/>
          <w:szCs w:val="32"/>
          <w:lang w:val="zh-CN" w:bidi="zh-CN"/>
        </w:rPr>
      </w:pPr>
      <w:bookmarkStart w:id="1" w:name="_Toc3766"/>
      <w:r>
        <w:rPr>
          <w:rFonts w:hint="default" w:ascii="Times New Roman" w:hAnsi="Times New Roman" w:eastAsia="方正仿宋_GBK" w:cs="Times New Roman"/>
          <w:b w:val="0"/>
          <w:bCs/>
          <w:color w:val="auto"/>
          <w:sz w:val="32"/>
          <w:szCs w:val="32"/>
          <w:lang w:val="zh-CN" w:eastAsia="zh-CN" w:bidi="zh-CN"/>
        </w:rPr>
        <w:t>全面提升新时代地方外事治理能力和国际化服务水平，着力打造开放赋能更精准、对外交往更务实、涉外治理更高效、外事队伍更过硬的现代化地方外事工作体系，为全市高水平对外开放、城市国际化建设和经济社会高质量发展提供坚实外事支撑</w:t>
      </w:r>
    </w:p>
    <w:p w14:paraId="634D07E2">
      <w:pPr>
        <w:autoSpaceDE w:val="0"/>
        <w:autoSpaceDN w:val="0"/>
        <w:spacing w:line="540" w:lineRule="exact"/>
        <w:ind w:firstLine="640" w:firstLineChars="200"/>
        <w:jc w:val="left"/>
        <w:outlineLvl w:val="0"/>
        <w:rPr>
          <w:rFonts w:hint="default" w:ascii="Times New Roman" w:hAnsi="Times New Roman" w:eastAsia="方正仿宋_GBK" w:cs="Times New Roman"/>
          <w:b/>
          <w:color w:val="auto"/>
          <w:sz w:val="32"/>
          <w:szCs w:val="32"/>
          <w:lang w:val="zh-CN" w:bidi="zh-CN"/>
        </w:rPr>
      </w:pPr>
      <w:r>
        <w:rPr>
          <w:rFonts w:hint="default" w:ascii="Times New Roman" w:hAnsi="Times New Roman" w:eastAsia="方正仿宋_GBK" w:cs="Times New Roman"/>
          <w:b/>
          <w:color w:val="auto"/>
          <w:sz w:val="32"/>
          <w:szCs w:val="32"/>
          <w:lang w:val="zh-CN" w:bidi="zh-CN"/>
        </w:rPr>
        <w:t>3.年度目标</w:t>
      </w:r>
      <w:bookmarkEnd w:id="1"/>
    </w:p>
    <w:p w14:paraId="3491F03C">
      <w:pPr>
        <w:keepNext/>
        <w:keepLines/>
        <w:autoSpaceDE w:val="0"/>
        <w:autoSpaceDN w:val="0"/>
        <w:spacing w:line="540" w:lineRule="exact"/>
        <w:ind w:firstLine="640" w:firstLineChars="200"/>
        <w:jc w:val="left"/>
        <w:outlineLvl w:val="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以更高站位服务国家总体外交；以更实举措推进高水平开放合作；以更大力度提升国际传播效能；以更优服务完善国际化营商环境；以更强担当守牢涉外安全底线；以更高标准推进宁港澳协同发展。</w:t>
      </w:r>
    </w:p>
    <w:p w14:paraId="5EF3E6FA">
      <w:pPr>
        <w:pStyle w:val="12"/>
        <w:keepNext w:val="0"/>
        <w:keepLines w:val="0"/>
        <w:widowControl/>
        <w:suppressLineNumbers w:val="0"/>
        <w:spacing w:before="0" w:beforeAutospacing="0" w:after="0" w:afterAutospacing="0" w:line="520" w:lineRule="exact"/>
        <w:ind w:right="0" w:firstLine="640" w:firstLineChars="200"/>
        <w:jc w:val="left"/>
        <w:rPr>
          <w:rFonts w:hint="default" w:ascii="方正黑体_GBK" w:hAnsi="方正黑体_GBK" w:eastAsia="方正黑体_GBK" w:cs="方正黑体_GBK"/>
          <w:b w:val="0"/>
          <w:bCs w:val="0"/>
          <w:i w:val="0"/>
          <w:iCs w:val="0"/>
          <w:color w:val="auto"/>
          <w:spacing w:val="0"/>
          <w:w w:val="100"/>
          <w:sz w:val="32"/>
          <w:szCs w:val="32"/>
          <w:vertAlign w:val="baseline"/>
          <w:lang w:eastAsia="zh-CN"/>
        </w:rPr>
      </w:pPr>
      <w:r>
        <w:rPr>
          <w:rFonts w:hint="default" w:ascii="方正黑体_GBK" w:hAnsi="方正黑体_GBK" w:eastAsia="方正黑体_GBK" w:cs="方正黑体_GBK"/>
          <w:b w:val="0"/>
          <w:bCs w:val="0"/>
          <w:i w:val="0"/>
          <w:iCs w:val="0"/>
          <w:color w:val="auto"/>
          <w:spacing w:val="0"/>
          <w:w w:val="100"/>
          <w:sz w:val="32"/>
          <w:szCs w:val="32"/>
          <w:vertAlign w:val="baseline"/>
        </w:rPr>
        <w:t>二、</w:t>
      </w:r>
      <w:r>
        <w:rPr>
          <w:rFonts w:hint="default" w:ascii="方正黑体_GBK" w:hAnsi="方正黑体_GBK" w:eastAsia="方正黑体_GBK" w:cs="方正黑体_GBK"/>
          <w:b w:val="0"/>
          <w:bCs w:val="0"/>
          <w:i w:val="0"/>
          <w:iCs w:val="0"/>
          <w:color w:val="auto"/>
          <w:spacing w:val="0"/>
          <w:w w:val="100"/>
          <w:sz w:val="32"/>
          <w:szCs w:val="32"/>
          <w:vertAlign w:val="baseline"/>
          <w:lang w:val="zh-CN"/>
        </w:rPr>
        <w:t>绩效评价开展情况</w:t>
      </w:r>
    </w:p>
    <w:p w14:paraId="39FC3C07">
      <w:pPr>
        <w:keepNext/>
        <w:keepLines/>
        <w:autoSpaceDE w:val="0"/>
        <w:autoSpaceDN w:val="0"/>
        <w:spacing w:line="540" w:lineRule="exact"/>
        <w:ind w:firstLine="752" w:firstLineChars="235"/>
        <w:jc w:val="left"/>
        <w:outlineLvl w:val="1"/>
        <w:rPr>
          <w:rFonts w:hint="eastAsia" w:ascii="方正楷体_GBK" w:hAnsi="方正楷体_GBK" w:eastAsia="方正楷体_GBK" w:cs="方正楷体_GBK"/>
          <w:b/>
          <w:bCs/>
          <w:color w:val="auto"/>
          <w:kern w:val="0"/>
          <w:sz w:val="32"/>
          <w:szCs w:val="32"/>
          <w:lang w:val="zh-CN" w:bidi="zh-CN"/>
        </w:rPr>
      </w:pPr>
      <w:bookmarkStart w:id="2" w:name="_Toc82176920"/>
      <w:bookmarkStart w:id="3" w:name="_Toc30726"/>
      <w:r>
        <w:rPr>
          <w:rFonts w:hint="eastAsia" w:ascii="方正楷体_GBK" w:hAnsi="方正楷体_GBK" w:eastAsia="方正楷体_GBK" w:cs="方正楷体_GBK"/>
          <w:b/>
          <w:bCs/>
          <w:color w:val="auto"/>
          <w:kern w:val="0"/>
          <w:sz w:val="32"/>
          <w:szCs w:val="32"/>
          <w:lang w:val="zh-CN" w:bidi="zh-CN"/>
        </w:rPr>
        <w:t>（一）评价目的</w:t>
      </w:r>
      <w:bookmarkEnd w:id="2"/>
      <w:bookmarkEnd w:id="3"/>
    </w:p>
    <w:p w14:paraId="59E65D4A">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本次绩效评价主要通过202</w:t>
      </w:r>
      <w:r>
        <w:rPr>
          <w:rFonts w:hint="default" w:ascii="Times New Roman" w:hAnsi="Times New Roman" w:eastAsia="方正仿宋_GBK" w:cs="Times New Roman"/>
          <w:color w:val="auto"/>
          <w:sz w:val="32"/>
          <w:szCs w:val="32"/>
          <w:lang w:val="en-US" w:bidi="zh-CN"/>
        </w:rPr>
        <w:t>5</w:t>
      </w:r>
      <w:r>
        <w:rPr>
          <w:rFonts w:hint="default" w:ascii="Times New Roman" w:hAnsi="Times New Roman" w:eastAsia="方正仿宋_GBK" w:cs="Times New Roman"/>
          <w:color w:val="auto"/>
          <w:sz w:val="32"/>
          <w:szCs w:val="32"/>
          <w:lang w:val="zh-CN" w:bidi="zh-CN"/>
        </w:rPr>
        <w:t>年</w:t>
      </w:r>
      <w:r>
        <w:rPr>
          <w:rFonts w:hint="default" w:ascii="Times New Roman" w:hAnsi="Times New Roman" w:eastAsia="方正仿宋_GBK" w:cs="Times New Roman"/>
          <w:color w:val="auto"/>
          <w:sz w:val="32"/>
          <w:szCs w:val="32"/>
          <w:lang w:val="en-US" w:bidi="zh-CN"/>
        </w:rPr>
        <w:t>市外办</w:t>
      </w:r>
      <w:r>
        <w:rPr>
          <w:rFonts w:hint="default" w:ascii="Times New Roman" w:hAnsi="Times New Roman" w:eastAsia="方正仿宋_GBK" w:cs="Times New Roman"/>
          <w:color w:val="auto"/>
          <w:sz w:val="32"/>
          <w:szCs w:val="32"/>
          <w:lang w:val="zh-CN" w:bidi="zh-CN"/>
        </w:rPr>
        <w:t>部门整体的决策、过程、产出和效益的经济性、效率性和效益性分析，评价部门整体绩效，找出薄弱环节，并提出相关建议，以进一步提高部门履职效率，充分发挥部门履职效益和效果，助力全市的经济社会发展。</w:t>
      </w:r>
      <w:bookmarkStart w:id="4" w:name="_Toc20255"/>
      <w:bookmarkStart w:id="5" w:name="_Toc31448"/>
    </w:p>
    <w:p w14:paraId="50578012">
      <w:pPr>
        <w:autoSpaceDE w:val="0"/>
        <w:autoSpaceDN w:val="0"/>
        <w:spacing w:line="540" w:lineRule="exact"/>
        <w:ind w:firstLine="640" w:firstLineChars="200"/>
        <w:rPr>
          <w:rFonts w:hint="default" w:ascii="方正楷体_GBK" w:hAnsi="方正楷体_GBK" w:eastAsia="方正楷体_GBK" w:cs="方正楷体_GBK"/>
          <w:b/>
          <w:bCs/>
          <w:color w:val="auto"/>
          <w:kern w:val="0"/>
          <w:sz w:val="32"/>
          <w:szCs w:val="32"/>
          <w:lang w:val="zh-CN" w:bidi="zh-CN"/>
        </w:rPr>
      </w:pPr>
      <w:r>
        <w:rPr>
          <w:rFonts w:hint="default" w:ascii="方正楷体_GBK" w:hAnsi="方正楷体_GBK" w:eastAsia="方正楷体_GBK" w:cs="方正楷体_GBK"/>
          <w:b/>
          <w:bCs/>
          <w:color w:val="auto"/>
          <w:kern w:val="0"/>
          <w:sz w:val="32"/>
          <w:szCs w:val="32"/>
          <w:lang w:val="zh-CN" w:bidi="zh-CN"/>
        </w:rPr>
        <w:t>（二）</w:t>
      </w:r>
      <w:bookmarkStart w:id="6" w:name="_Toc453853633"/>
      <w:bookmarkStart w:id="7" w:name="_Toc422410852"/>
      <w:bookmarkStart w:id="8" w:name="_Toc422410924"/>
      <w:bookmarkStart w:id="9" w:name="_Toc422410641"/>
      <w:bookmarkStart w:id="10" w:name="_Toc425497321"/>
      <w:r>
        <w:rPr>
          <w:rFonts w:hint="default" w:ascii="方正楷体_GBK" w:hAnsi="方正楷体_GBK" w:eastAsia="方正楷体_GBK" w:cs="方正楷体_GBK"/>
          <w:b/>
          <w:bCs/>
          <w:color w:val="auto"/>
          <w:kern w:val="0"/>
          <w:sz w:val="32"/>
          <w:szCs w:val="32"/>
          <w:lang w:val="zh-CN" w:bidi="zh-CN"/>
        </w:rPr>
        <w:t>评价的依据</w:t>
      </w:r>
      <w:bookmarkEnd w:id="4"/>
      <w:bookmarkEnd w:id="5"/>
    </w:p>
    <w:bookmarkEnd w:id="6"/>
    <w:bookmarkEnd w:id="7"/>
    <w:bookmarkEnd w:id="8"/>
    <w:bookmarkEnd w:id="9"/>
    <w:bookmarkEnd w:id="10"/>
    <w:p w14:paraId="74710E79">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1</w:t>
      </w:r>
      <w:r>
        <w:rPr>
          <w:rFonts w:hint="default" w:ascii="Times New Roman" w:hAnsi="Times New Roman" w:eastAsia="方正仿宋_GBK" w:cs="Times New Roman"/>
          <w:color w:val="auto"/>
          <w:sz w:val="32"/>
          <w:szCs w:val="32"/>
          <w:lang w:val="zh-CN" w:bidi="zh-CN"/>
        </w:rPr>
        <w:t>.</w:t>
      </w:r>
      <w:r>
        <w:rPr>
          <w:rFonts w:hint="default" w:ascii="Times New Roman" w:hAnsi="Times New Roman" w:eastAsia="方正仿宋_GBK" w:cs="Times New Roman"/>
          <w:color w:val="auto"/>
          <w:sz w:val="32"/>
          <w:szCs w:val="32"/>
          <w:lang w:val="zh-CN" w:bidi="zh-CN"/>
        </w:rPr>
        <w:t>《中共中央国务院关于全面实施预算绩效管理的意见》</w:t>
      </w:r>
      <w:r>
        <w:rPr>
          <w:rFonts w:hint="default" w:ascii="Times New Roman" w:hAnsi="Times New Roman" w:eastAsia="方正仿宋_GBK" w:cs="Times New Roman"/>
          <w:color w:val="auto"/>
          <w:sz w:val="32"/>
          <w:szCs w:val="32"/>
          <w:lang w:val="zh-CN" w:bidi="zh-CN"/>
        </w:rPr>
        <w:t>（中发〔2018〕34号）；</w:t>
      </w:r>
    </w:p>
    <w:p w14:paraId="0FA7C10F">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2</w:t>
      </w:r>
      <w:r>
        <w:rPr>
          <w:rFonts w:hint="default" w:ascii="Times New Roman" w:hAnsi="Times New Roman" w:eastAsia="方正仿宋_GBK" w:cs="Times New Roman"/>
          <w:color w:val="auto"/>
          <w:sz w:val="32"/>
          <w:szCs w:val="32"/>
          <w:lang w:val="zh-CN" w:bidi="zh-CN"/>
        </w:rPr>
        <w:t>.《中共江苏省委江苏省人民政府关于全面实施预算绩效管理的实施意见》（</w:t>
      </w:r>
      <w:r>
        <w:rPr>
          <w:rFonts w:hint="default" w:ascii="Times New Roman" w:hAnsi="Times New Roman" w:eastAsia="方正仿宋_GBK" w:cs="Times New Roman"/>
          <w:color w:val="auto"/>
          <w:sz w:val="32"/>
          <w:szCs w:val="32"/>
          <w:lang w:val="zh-CN" w:bidi="zh-CN"/>
        </w:rPr>
        <w:t>苏发〔2019〕6号</w:t>
      </w:r>
      <w:r>
        <w:rPr>
          <w:rFonts w:hint="default" w:ascii="Times New Roman" w:hAnsi="Times New Roman" w:eastAsia="方正仿宋_GBK" w:cs="Times New Roman"/>
          <w:color w:val="auto"/>
          <w:sz w:val="32"/>
          <w:szCs w:val="32"/>
          <w:lang w:val="zh-CN" w:bidi="zh-CN"/>
        </w:rPr>
        <w:t>）；</w:t>
      </w:r>
    </w:p>
    <w:p w14:paraId="36B85C87">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3.《南京市市级财政预算绩效评价操作规程》</w:t>
      </w:r>
      <w:r>
        <w:rPr>
          <w:rFonts w:hint="default" w:ascii="Times New Roman" w:hAnsi="Times New Roman" w:eastAsia="方正仿宋_GBK" w:cs="Times New Roman"/>
          <w:color w:val="auto"/>
          <w:sz w:val="32"/>
          <w:szCs w:val="32"/>
          <w:lang w:val="zh-CN" w:bidi="zh-CN"/>
        </w:rPr>
        <w:t>（宁财绩〔2020〕260号）</w:t>
      </w:r>
      <w:r>
        <w:rPr>
          <w:rFonts w:hint="default" w:ascii="Times New Roman" w:hAnsi="Times New Roman" w:eastAsia="方正仿宋_GBK" w:cs="Times New Roman"/>
          <w:color w:val="auto"/>
          <w:sz w:val="32"/>
          <w:szCs w:val="32"/>
          <w:lang w:val="zh-CN" w:bidi="zh-CN"/>
        </w:rPr>
        <w:t>；</w:t>
      </w:r>
    </w:p>
    <w:p w14:paraId="558ECC87">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4.《南京市市级预算部门（单位）整体绩效管理办法》（</w:t>
      </w:r>
      <w:r>
        <w:rPr>
          <w:rFonts w:hint="default" w:ascii="Times New Roman" w:hAnsi="Times New Roman" w:eastAsia="方正仿宋_GBK" w:cs="Times New Roman"/>
          <w:color w:val="auto"/>
          <w:sz w:val="32"/>
          <w:szCs w:val="32"/>
          <w:lang w:val="zh-CN" w:bidi="zh-CN"/>
        </w:rPr>
        <w:t>宁财绩〔2020〕359号</w:t>
      </w:r>
      <w:r>
        <w:rPr>
          <w:rFonts w:hint="default" w:ascii="Times New Roman" w:hAnsi="Times New Roman" w:eastAsia="方正仿宋_GBK" w:cs="Times New Roman"/>
          <w:color w:val="auto"/>
          <w:sz w:val="32"/>
          <w:szCs w:val="32"/>
          <w:lang w:val="zh-CN" w:bidi="zh-CN"/>
        </w:rPr>
        <w:t>）</w:t>
      </w:r>
      <w:r>
        <w:rPr>
          <w:rFonts w:hint="default" w:ascii="Times New Roman" w:hAnsi="Times New Roman" w:eastAsia="方正仿宋_GBK" w:cs="Times New Roman"/>
          <w:color w:val="auto"/>
          <w:sz w:val="32"/>
          <w:szCs w:val="32"/>
          <w:lang w:val="zh-CN" w:bidi="zh-CN"/>
        </w:rPr>
        <w:t>；</w:t>
      </w:r>
    </w:p>
    <w:p w14:paraId="1D1D41D2">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5.</w:t>
      </w:r>
      <w:r>
        <w:rPr>
          <w:rFonts w:hint="default" w:ascii="Times New Roman" w:hAnsi="Times New Roman" w:eastAsia="方正仿宋_GBK" w:cs="Times New Roman"/>
          <w:color w:val="auto"/>
          <w:sz w:val="32"/>
          <w:szCs w:val="32"/>
          <w:lang w:val="zh-CN" w:bidi="zh-CN"/>
        </w:rPr>
        <w:t xml:space="preserve"> </w:t>
      </w:r>
      <w:r>
        <w:rPr>
          <w:rFonts w:hint="default" w:ascii="Times New Roman" w:hAnsi="Times New Roman" w:eastAsia="方正仿宋_GBK" w:cs="Times New Roman"/>
          <w:color w:val="auto"/>
          <w:sz w:val="32"/>
          <w:szCs w:val="32"/>
          <w:lang w:val="zh-CN" w:bidi="zh-CN"/>
        </w:rPr>
        <w:t>南京</w:t>
      </w:r>
      <w:r>
        <w:rPr>
          <w:rFonts w:hint="default" w:ascii="Times New Roman" w:hAnsi="Times New Roman" w:eastAsia="方正仿宋_GBK" w:cs="Times New Roman"/>
          <w:color w:val="auto"/>
          <w:sz w:val="32"/>
          <w:szCs w:val="32"/>
          <w:lang w:val="en-US" w:bidi="zh-CN"/>
        </w:rPr>
        <w:t>市外办</w:t>
      </w:r>
      <w:r>
        <w:rPr>
          <w:rFonts w:hint="default" w:ascii="Times New Roman" w:hAnsi="Times New Roman" w:eastAsia="方正仿宋_GBK" w:cs="Times New Roman"/>
          <w:color w:val="auto"/>
          <w:sz w:val="32"/>
          <w:szCs w:val="32"/>
          <w:lang w:val="zh-CN" w:bidi="zh-CN"/>
        </w:rPr>
        <w:t>三定方案及其他相关材料。</w:t>
      </w:r>
    </w:p>
    <w:p w14:paraId="4306A6BC">
      <w:pPr>
        <w:keepNext/>
        <w:keepLines/>
        <w:autoSpaceDE w:val="0"/>
        <w:autoSpaceDN w:val="0"/>
        <w:spacing w:line="540" w:lineRule="exact"/>
        <w:ind w:firstLine="752" w:firstLineChars="235"/>
        <w:jc w:val="left"/>
        <w:outlineLvl w:val="1"/>
        <w:rPr>
          <w:rFonts w:hint="default" w:ascii="方正楷体_GBK" w:hAnsi="方正楷体_GBK" w:eastAsia="方正楷体_GBK" w:cs="方正楷体_GBK"/>
          <w:b/>
          <w:bCs/>
          <w:color w:val="auto"/>
          <w:kern w:val="0"/>
          <w:sz w:val="32"/>
          <w:szCs w:val="32"/>
          <w:lang w:val="zh-CN" w:bidi="zh-CN"/>
        </w:rPr>
      </w:pPr>
      <w:bookmarkStart w:id="11" w:name="_Toc82176921"/>
      <w:bookmarkStart w:id="12" w:name="_Toc1559"/>
      <w:r>
        <w:rPr>
          <w:rFonts w:hint="default" w:ascii="方正楷体_GBK" w:hAnsi="方正楷体_GBK" w:eastAsia="方正楷体_GBK" w:cs="方正楷体_GBK"/>
          <w:b/>
          <w:bCs/>
          <w:color w:val="auto"/>
          <w:kern w:val="0"/>
          <w:sz w:val="32"/>
          <w:szCs w:val="32"/>
          <w:lang w:val="zh-CN" w:bidi="zh-CN"/>
        </w:rPr>
        <w:t>（三）评价方法</w:t>
      </w:r>
      <w:bookmarkEnd w:id="11"/>
      <w:bookmarkEnd w:id="12"/>
    </w:p>
    <w:p w14:paraId="6FDF0A51">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综合运用比较法、调研法、制定评价指标和标准、数据采集等方式进行部门整体支出绩效综合评价。评价指标采取定量与定性相结合、优先定量的原则。</w:t>
      </w:r>
    </w:p>
    <w:p w14:paraId="20365E04">
      <w:pPr>
        <w:keepNext/>
        <w:keepLines/>
        <w:autoSpaceDE w:val="0"/>
        <w:autoSpaceDN w:val="0"/>
        <w:spacing w:line="540" w:lineRule="exact"/>
        <w:ind w:firstLine="752" w:firstLineChars="235"/>
        <w:jc w:val="left"/>
        <w:outlineLvl w:val="1"/>
        <w:rPr>
          <w:rFonts w:hint="default" w:ascii="方正楷体_GBK" w:hAnsi="方正楷体_GBK" w:eastAsia="方正楷体_GBK" w:cs="方正楷体_GBK"/>
          <w:b/>
          <w:bCs/>
          <w:color w:val="auto"/>
          <w:kern w:val="0"/>
          <w:sz w:val="32"/>
          <w:szCs w:val="32"/>
          <w:lang w:val="zh-CN" w:bidi="zh-CN"/>
        </w:rPr>
      </w:pPr>
      <w:bookmarkStart w:id="13" w:name="_Toc21033"/>
      <w:bookmarkStart w:id="14" w:name="_Toc82176922"/>
      <w:r>
        <w:rPr>
          <w:rFonts w:hint="default" w:ascii="方正楷体_GBK" w:hAnsi="方正楷体_GBK" w:eastAsia="方正楷体_GBK" w:cs="方正楷体_GBK"/>
          <w:b/>
          <w:bCs/>
          <w:color w:val="auto"/>
          <w:kern w:val="0"/>
          <w:sz w:val="32"/>
          <w:szCs w:val="32"/>
          <w:lang w:val="zh-CN" w:bidi="zh-CN"/>
        </w:rPr>
        <w:t>（四）指标体系</w:t>
      </w:r>
      <w:bookmarkEnd w:id="13"/>
      <w:bookmarkEnd w:id="14"/>
    </w:p>
    <w:p w14:paraId="23048006">
      <w:pPr>
        <w:autoSpaceDE w:val="0"/>
        <w:autoSpaceDN w:val="0"/>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根据绩效评价的基本原理、原则和项目特点，评价组按照《南京市市级财政预算绩效评价操作规程》（宁财绩〔2020〕260号）</w:t>
      </w:r>
      <w:r>
        <w:rPr>
          <w:rFonts w:hint="default" w:ascii="Times New Roman" w:hAnsi="Times New Roman" w:eastAsia="方正仿宋_GBK" w:cs="Times New Roman"/>
          <w:color w:val="auto"/>
          <w:sz w:val="32"/>
          <w:szCs w:val="32"/>
          <w:lang w:val="zh-CN" w:bidi="zh-CN"/>
        </w:rPr>
        <w:t>，</w:t>
      </w:r>
      <w:r>
        <w:rPr>
          <w:rFonts w:hint="default" w:ascii="Times New Roman" w:hAnsi="Times New Roman" w:eastAsia="方正仿宋_GBK" w:cs="Times New Roman"/>
          <w:color w:val="auto"/>
          <w:sz w:val="32"/>
          <w:szCs w:val="32"/>
          <w:lang w:val="zh-CN" w:bidi="zh-CN"/>
        </w:rPr>
        <w:t>结合</w:t>
      </w:r>
      <w:r>
        <w:rPr>
          <w:rFonts w:hint="default" w:ascii="Times New Roman" w:hAnsi="Times New Roman" w:eastAsia="方正仿宋_GBK" w:cs="Times New Roman"/>
          <w:color w:val="auto"/>
          <w:sz w:val="32"/>
          <w:szCs w:val="32"/>
          <w:lang w:val="en-US" w:bidi="zh-CN"/>
        </w:rPr>
        <w:t>市外办2025</w:t>
      </w:r>
      <w:r>
        <w:rPr>
          <w:rFonts w:hint="default" w:ascii="Times New Roman" w:hAnsi="Times New Roman" w:eastAsia="方正仿宋_GBK" w:cs="Times New Roman"/>
          <w:color w:val="auto"/>
          <w:sz w:val="32"/>
          <w:szCs w:val="32"/>
          <w:lang w:val="zh-CN" w:bidi="zh-CN"/>
        </w:rPr>
        <w:t>年度工作目标、业务和资金管理，设计部门整体绩效评价指标体系。评价指标体系涵盖部门目标任务、预算</w:t>
      </w:r>
      <w:r>
        <w:rPr>
          <w:rFonts w:hint="default" w:ascii="Times New Roman" w:hAnsi="Times New Roman" w:eastAsia="方正仿宋_GBK" w:cs="Times New Roman"/>
          <w:color w:val="auto"/>
          <w:sz w:val="32"/>
          <w:szCs w:val="32"/>
          <w:lang w:val="zh-CN" w:bidi="zh-CN"/>
        </w:rPr>
        <w:t>收支</w:t>
      </w:r>
      <w:r>
        <w:rPr>
          <w:rFonts w:hint="default" w:ascii="Times New Roman" w:hAnsi="Times New Roman" w:eastAsia="方正仿宋_GBK" w:cs="Times New Roman"/>
          <w:color w:val="auto"/>
          <w:sz w:val="32"/>
          <w:szCs w:val="32"/>
          <w:lang w:val="zh-CN" w:bidi="zh-CN"/>
        </w:rPr>
        <w:t>管理、内部控制管理、人员管理、业务管理、部门履职情况、经济社会效益等内容。评价指标包括决策、</w:t>
      </w:r>
      <w:r>
        <w:rPr>
          <w:rFonts w:hint="default" w:ascii="Times New Roman" w:hAnsi="Times New Roman" w:eastAsia="方正仿宋_GBK" w:cs="Times New Roman"/>
          <w:color w:val="auto"/>
          <w:sz w:val="32"/>
          <w:szCs w:val="32"/>
          <w:lang w:val="zh-CN" w:bidi="zh-CN"/>
        </w:rPr>
        <w:t>过程</w:t>
      </w:r>
      <w:r>
        <w:rPr>
          <w:rFonts w:hint="default" w:ascii="Times New Roman" w:hAnsi="Times New Roman" w:eastAsia="方正仿宋_GBK" w:cs="Times New Roman"/>
          <w:color w:val="auto"/>
          <w:sz w:val="32"/>
          <w:szCs w:val="32"/>
          <w:lang w:val="zh-CN" w:bidi="zh-CN"/>
        </w:rPr>
        <w:t>、履职</w:t>
      </w:r>
      <w:r>
        <w:rPr>
          <w:rFonts w:hint="default" w:ascii="Times New Roman" w:hAnsi="Times New Roman" w:eastAsia="方正仿宋_GBK" w:cs="Times New Roman"/>
          <w:color w:val="auto"/>
          <w:sz w:val="32"/>
          <w:szCs w:val="32"/>
          <w:lang w:val="zh-CN" w:bidi="zh-CN"/>
        </w:rPr>
        <w:t>和</w:t>
      </w:r>
      <w:r>
        <w:rPr>
          <w:rFonts w:hint="default" w:ascii="Times New Roman" w:hAnsi="Times New Roman" w:eastAsia="方正仿宋_GBK" w:cs="Times New Roman"/>
          <w:color w:val="auto"/>
          <w:sz w:val="32"/>
          <w:szCs w:val="32"/>
          <w:lang w:val="zh-CN" w:bidi="zh-CN"/>
        </w:rPr>
        <w:t>效益</w:t>
      </w:r>
      <w:r>
        <w:rPr>
          <w:rFonts w:hint="default" w:ascii="Times New Roman" w:hAnsi="Times New Roman" w:eastAsia="方正仿宋_GBK" w:cs="Times New Roman"/>
          <w:color w:val="auto"/>
          <w:sz w:val="32"/>
          <w:szCs w:val="32"/>
          <w:lang w:val="zh-CN" w:bidi="zh-CN"/>
        </w:rPr>
        <w:t>四</w:t>
      </w:r>
      <w:r>
        <w:rPr>
          <w:rFonts w:hint="default" w:ascii="Times New Roman" w:hAnsi="Times New Roman" w:eastAsia="方正仿宋_GBK" w:cs="Times New Roman"/>
          <w:color w:val="auto"/>
          <w:sz w:val="32"/>
          <w:szCs w:val="32"/>
          <w:lang w:val="zh-CN" w:bidi="zh-CN"/>
        </w:rPr>
        <w:t>部分，设置一级指标4个，二级指标</w:t>
      </w:r>
      <w:r>
        <w:rPr>
          <w:rFonts w:hint="default" w:ascii="Times New Roman" w:hAnsi="Times New Roman" w:eastAsia="方正仿宋_GBK" w:cs="Times New Roman"/>
          <w:color w:val="auto"/>
          <w:sz w:val="32"/>
          <w:szCs w:val="32"/>
          <w:lang w:val="zh-CN" w:bidi="zh-CN"/>
        </w:rPr>
        <w:t>1</w:t>
      </w:r>
      <w:r>
        <w:rPr>
          <w:rFonts w:hint="default" w:ascii="Times New Roman" w:hAnsi="Times New Roman" w:eastAsia="方正仿宋_GBK" w:cs="Times New Roman"/>
          <w:color w:val="auto"/>
          <w:sz w:val="32"/>
          <w:szCs w:val="32"/>
          <w:lang w:val="zh-CN" w:bidi="zh-CN"/>
        </w:rPr>
        <w:t>9个，三级指标38个。</w:t>
      </w:r>
    </w:p>
    <w:p w14:paraId="538BC717">
      <w:pPr>
        <w:pStyle w:val="12"/>
        <w:keepNext w:val="0"/>
        <w:keepLines w:val="0"/>
        <w:widowControl/>
        <w:suppressLineNumbers w:val="0"/>
        <w:spacing w:before="0" w:beforeAutospacing="0" w:after="0" w:afterAutospacing="0" w:line="520" w:lineRule="exact"/>
        <w:ind w:right="0" w:firstLine="640" w:firstLineChars="200"/>
        <w:jc w:val="left"/>
        <w:rPr>
          <w:rFonts w:hint="default" w:ascii="方正黑体_GBK" w:hAnsi="方正黑体_GBK" w:eastAsia="方正黑体_GBK" w:cs="方正黑体_GBK"/>
          <w:b w:val="0"/>
          <w:bCs w:val="0"/>
          <w:i w:val="0"/>
          <w:iCs w:val="0"/>
          <w:color w:val="auto"/>
          <w:spacing w:val="0"/>
          <w:w w:val="100"/>
          <w:sz w:val="32"/>
          <w:szCs w:val="32"/>
          <w:vertAlign w:val="baseline"/>
          <w:lang w:val="zh-CN"/>
        </w:rPr>
      </w:pPr>
      <w:bookmarkStart w:id="15" w:name="_Toc27060"/>
      <w:bookmarkStart w:id="16" w:name="_Toc82176923"/>
      <w:r>
        <w:rPr>
          <w:rFonts w:hint="default" w:ascii="方正黑体_GBK" w:hAnsi="方正黑体_GBK" w:eastAsia="方正黑体_GBK" w:cs="方正黑体_GBK"/>
          <w:b w:val="0"/>
          <w:bCs w:val="0"/>
          <w:i w:val="0"/>
          <w:iCs w:val="0"/>
          <w:color w:val="auto"/>
          <w:spacing w:val="0"/>
          <w:w w:val="100"/>
          <w:sz w:val="32"/>
          <w:szCs w:val="32"/>
          <w:vertAlign w:val="baseline"/>
          <w:lang w:val="zh-CN"/>
        </w:rPr>
        <w:t>三、评价结论</w:t>
      </w:r>
      <w:bookmarkEnd w:id="15"/>
      <w:bookmarkEnd w:id="16"/>
    </w:p>
    <w:p w14:paraId="64F304AB">
      <w:pPr>
        <w:keepNext/>
        <w:keepLines/>
        <w:tabs>
          <w:tab w:val="left" w:pos="1"/>
          <w:tab w:val="left" w:pos="143"/>
        </w:tabs>
        <w:adjustRightInd w:val="0"/>
        <w:snapToGrid w:val="0"/>
        <w:spacing w:line="540" w:lineRule="exact"/>
        <w:ind w:firstLine="640" w:firstLineChars="200"/>
        <w:outlineLvl w:val="1"/>
        <w:rPr>
          <w:rFonts w:hint="default" w:ascii="Times New Roman" w:hAnsi="Times New Roman" w:eastAsia="方正仿宋_GBK" w:cs="Times New Roman"/>
          <w:b/>
          <w:bCs/>
          <w:color w:val="auto"/>
          <w:sz w:val="32"/>
          <w:szCs w:val="32"/>
          <w:lang w:val="zh-CN" w:bidi="zh-CN"/>
        </w:rPr>
      </w:pPr>
      <w:bookmarkStart w:id="17" w:name="_Toc22942"/>
      <w:bookmarkStart w:id="18" w:name="_Toc8253"/>
      <w:r>
        <w:rPr>
          <w:rFonts w:hint="default" w:ascii="Times New Roman" w:hAnsi="Times New Roman" w:eastAsia="方正仿宋_GBK" w:cs="Times New Roman"/>
          <w:b/>
          <w:bCs/>
          <w:color w:val="auto"/>
          <w:sz w:val="32"/>
          <w:szCs w:val="32"/>
          <w:lang w:val="zh-CN" w:bidi="zh-CN"/>
        </w:rPr>
        <w:t>1. 评价方式</w:t>
      </w:r>
      <w:bookmarkEnd w:id="17"/>
      <w:bookmarkEnd w:id="18"/>
    </w:p>
    <w:p w14:paraId="45E614AC">
      <w:pPr>
        <w:spacing w:line="54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采取评分和评级相结合的方式呈现评价结果。各项评价指标按其重要性程度设定分值（权重），总分设为100分，等级划为四档：90（含）—100分为“优”；80（含）—90分为“良”；60（含）—80分为“中”；60分以下为“差”。</w:t>
      </w:r>
    </w:p>
    <w:p w14:paraId="63CED260">
      <w:pPr>
        <w:keepNext/>
        <w:keepLines/>
        <w:tabs>
          <w:tab w:val="left" w:pos="1"/>
          <w:tab w:val="left" w:pos="143"/>
        </w:tabs>
        <w:adjustRightInd w:val="0"/>
        <w:snapToGrid w:val="0"/>
        <w:spacing w:line="540" w:lineRule="exact"/>
        <w:ind w:firstLine="640" w:firstLineChars="200"/>
        <w:outlineLvl w:val="1"/>
        <w:rPr>
          <w:rFonts w:hint="default" w:ascii="Times New Roman" w:hAnsi="Times New Roman" w:eastAsia="方正仿宋_GBK" w:cs="Times New Roman"/>
          <w:b/>
          <w:color w:val="auto"/>
          <w:sz w:val="32"/>
          <w:szCs w:val="24"/>
        </w:rPr>
      </w:pPr>
      <w:bookmarkStart w:id="19" w:name="_Toc29647"/>
      <w:bookmarkStart w:id="20" w:name="_Toc2051"/>
      <w:r>
        <w:rPr>
          <w:rFonts w:hint="default" w:ascii="Times New Roman" w:hAnsi="Times New Roman" w:eastAsia="方正仿宋_GBK" w:cs="Times New Roman"/>
          <w:b/>
          <w:color w:val="auto"/>
          <w:sz w:val="32"/>
          <w:szCs w:val="24"/>
        </w:rPr>
        <w:t>2. 评价结论</w:t>
      </w:r>
      <w:bookmarkEnd w:id="19"/>
      <w:bookmarkEnd w:id="20"/>
    </w:p>
    <w:p w14:paraId="19043C30">
      <w:pPr>
        <w:spacing w:line="560" w:lineRule="exact"/>
        <w:ind w:firstLine="640" w:firstLineChars="200"/>
        <w:rPr>
          <w:rFonts w:hint="default" w:ascii="Times New Roman" w:hAnsi="Times New Roman" w:eastAsia="方正仿宋_GBK" w:cs="Times New Roman"/>
          <w:color w:val="auto"/>
          <w:sz w:val="32"/>
          <w:szCs w:val="32"/>
          <w:lang w:val="zh-CN" w:bidi="zh-CN"/>
        </w:rPr>
      </w:pPr>
      <w:r>
        <w:rPr>
          <w:rFonts w:hint="default" w:ascii="Times New Roman" w:hAnsi="Times New Roman" w:eastAsia="方正仿宋_GBK" w:cs="Times New Roman"/>
          <w:color w:val="auto"/>
          <w:sz w:val="32"/>
          <w:szCs w:val="32"/>
          <w:lang w:val="zh-CN" w:bidi="zh-CN"/>
        </w:rPr>
        <w:t>本次绩效自评价遵循科学规范、公开公正、绩效相关原则，对照部门职责和绩效目标，全面核查部门整体履职情况，评判部门履职绩效</w:t>
      </w:r>
      <w:r>
        <w:rPr>
          <w:rFonts w:hint="default" w:ascii="Times New Roman" w:hAnsi="Times New Roman" w:eastAsia="方正仿宋_GBK" w:cs="Times New Roman"/>
          <w:color w:val="auto"/>
          <w:sz w:val="32"/>
          <w:szCs w:val="32"/>
          <w:lang w:val="zh-CN" w:bidi="zh-CN"/>
        </w:rPr>
        <w:t>。202</w:t>
      </w:r>
      <w:r>
        <w:rPr>
          <w:rFonts w:hint="default" w:ascii="Times New Roman" w:hAnsi="Times New Roman" w:eastAsia="方正仿宋_GBK" w:cs="Times New Roman"/>
          <w:color w:val="auto"/>
          <w:sz w:val="32"/>
          <w:szCs w:val="32"/>
          <w:lang w:val="en-US" w:bidi="zh-CN"/>
        </w:rPr>
        <w:t>5</w:t>
      </w:r>
      <w:r>
        <w:rPr>
          <w:rFonts w:hint="default" w:ascii="Times New Roman" w:hAnsi="Times New Roman" w:eastAsia="方正仿宋_GBK" w:cs="Times New Roman"/>
          <w:color w:val="auto"/>
          <w:sz w:val="32"/>
          <w:szCs w:val="32"/>
          <w:lang w:val="zh-CN" w:bidi="zh-CN"/>
        </w:rPr>
        <w:t>年度</w:t>
      </w:r>
      <w:r>
        <w:rPr>
          <w:rFonts w:hint="default" w:ascii="Times New Roman" w:hAnsi="Times New Roman" w:eastAsia="方正仿宋_GBK" w:cs="Times New Roman"/>
          <w:color w:val="auto"/>
          <w:sz w:val="32"/>
          <w:szCs w:val="32"/>
          <w:lang w:val="en-US" w:bidi="zh-CN"/>
        </w:rPr>
        <w:t>市外办</w:t>
      </w:r>
      <w:r>
        <w:rPr>
          <w:rFonts w:hint="default" w:ascii="Times New Roman" w:hAnsi="Times New Roman" w:eastAsia="方正仿宋_GBK" w:cs="Times New Roman"/>
          <w:color w:val="auto"/>
          <w:sz w:val="32"/>
          <w:szCs w:val="32"/>
          <w:lang w:val="zh-CN" w:bidi="zh-CN"/>
        </w:rPr>
        <w:t>部门业务管理和资金管理规范高效，圆满地完成各项工作任务。经客观评价，部门整体绩效评价结果为</w:t>
      </w:r>
      <w:r>
        <w:rPr>
          <w:rFonts w:hint="default" w:ascii="Times New Roman" w:hAnsi="Times New Roman" w:eastAsia="方正仿宋_GBK" w:cs="Times New Roman"/>
          <w:color w:val="auto"/>
          <w:sz w:val="32"/>
          <w:szCs w:val="32"/>
          <w:lang w:val="en-US" w:bidi="zh-CN"/>
        </w:rPr>
        <w:t>91.01</w:t>
      </w:r>
      <w:r>
        <w:rPr>
          <w:rFonts w:hint="default" w:ascii="Times New Roman" w:hAnsi="Times New Roman" w:eastAsia="方正仿宋_GBK" w:cs="Times New Roman"/>
          <w:color w:val="auto"/>
          <w:sz w:val="32"/>
          <w:szCs w:val="32"/>
          <w:lang w:val="zh-CN" w:bidi="zh-CN"/>
        </w:rPr>
        <w:t>分，绩效等级为“优”。各项得分如表2：</w:t>
      </w:r>
    </w:p>
    <w:p w14:paraId="3ABB7ACF">
      <w:pPr>
        <w:spacing w:line="540" w:lineRule="exact"/>
        <w:ind w:firstLine="630"/>
        <w:jc w:val="center"/>
        <w:rPr>
          <w:rFonts w:hint="default" w:ascii="Times New Roman" w:hAnsi="Times New Roman" w:eastAsia="方正仿宋_GBK" w:cs="Times New Roman"/>
          <w:b/>
          <w:color w:val="auto"/>
          <w:kern w:val="0"/>
          <w:sz w:val="28"/>
          <w:szCs w:val="28"/>
        </w:rPr>
      </w:pPr>
      <w:r>
        <w:rPr>
          <w:rFonts w:hint="default" w:ascii="Times New Roman" w:hAnsi="Times New Roman" w:eastAsia="方正仿宋_GBK" w:cs="Times New Roman"/>
          <w:b/>
          <w:color w:val="auto"/>
          <w:kern w:val="0"/>
          <w:sz w:val="28"/>
          <w:szCs w:val="28"/>
        </w:rPr>
        <w:t>表</w:t>
      </w:r>
      <w:r>
        <w:rPr>
          <w:rFonts w:hint="default" w:ascii="Times New Roman" w:hAnsi="Times New Roman" w:eastAsia="方正仿宋_GBK" w:cs="Times New Roman"/>
          <w:b/>
          <w:color w:val="auto"/>
          <w:kern w:val="0"/>
          <w:sz w:val="28"/>
          <w:szCs w:val="28"/>
        </w:rPr>
        <w:t>2</w:t>
      </w:r>
      <w:r>
        <w:rPr>
          <w:rFonts w:hint="default" w:ascii="Times New Roman" w:hAnsi="Times New Roman" w:eastAsia="方正仿宋_GBK" w:cs="Times New Roman"/>
          <w:b/>
          <w:color w:val="auto"/>
          <w:kern w:val="0"/>
          <w:sz w:val="28"/>
          <w:szCs w:val="28"/>
        </w:rPr>
        <w:t xml:space="preserve">： </w:t>
      </w:r>
      <w:r>
        <w:rPr>
          <w:rFonts w:hint="default" w:ascii="Times New Roman" w:hAnsi="Times New Roman" w:eastAsia="方正仿宋_GBK" w:cs="Times New Roman"/>
          <w:b/>
          <w:color w:val="auto"/>
          <w:kern w:val="0"/>
          <w:sz w:val="28"/>
          <w:szCs w:val="28"/>
        </w:rPr>
        <w:t>202</w:t>
      </w:r>
      <w:r>
        <w:rPr>
          <w:rFonts w:hint="default" w:ascii="Times New Roman" w:hAnsi="Times New Roman" w:eastAsia="方正仿宋_GBK" w:cs="Times New Roman"/>
          <w:b/>
          <w:color w:val="auto"/>
          <w:kern w:val="0"/>
          <w:sz w:val="28"/>
          <w:szCs w:val="28"/>
          <w:lang w:val="en-US" w:eastAsia="zh-CN"/>
        </w:rPr>
        <w:t>5</w:t>
      </w:r>
      <w:r>
        <w:rPr>
          <w:rFonts w:hint="default" w:ascii="Times New Roman" w:hAnsi="Times New Roman" w:eastAsia="方正仿宋_GBK" w:cs="Times New Roman"/>
          <w:b/>
          <w:color w:val="auto"/>
          <w:kern w:val="0"/>
          <w:sz w:val="28"/>
          <w:szCs w:val="28"/>
        </w:rPr>
        <w:t>年</w:t>
      </w:r>
      <w:r>
        <w:rPr>
          <w:rFonts w:hint="default" w:ascii="Times New Roman" w:hAnsi="Times New Roman" w:eastAsia="方正仿宋_GBK" w:cs="Times New Roman"/>
          <w:b/>
          <w:color w:val="auto"/>
          <w:kern w:val="0"/>
          <w:sz w:val="28"/>
          <w:szCs w:val="28"/>
          <w:lang w:val="en-US" w:eastAsia="zh-CN"/>
        </w:rPr>
        <w:t>市外办</w:t>
      </w:r>
      <w:r>
        <w:rPr>
          <w:rFonts w:hint="default" w:ascii="Times New Roman" w:hAnsi="Times New Roman" w:eastAsia="方正仿宋_GBK" w:cs="Times New Roman"/>
          <w:b/>
          <w:color w:val="auto"/>
          <w:kern w:val="0"/>
          <w:sz w:val="28"/>
          <w:szCs w:val="28"/>
        </w:rPr>
        <w:t>整体绩效自评价得分情况表</w:t>
      </w:r>
    </w:p>
    <w:tbl>
      <w:tblPr>
        <w:tblStyle w:val="13"/>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7"/>
        <w:gridCol w:w="1559"/>
        <w:gridCol w:w="1559"/>
        <w:gridCol w:w="1559"/>
        <w:gridCol w:w="1319"/>
      </w:tblGrid>
      <w:tr w14:paraId="78A2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204931">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指标</w:t>
            </w:r>
          </w:p>
        </w:tc>
        <w:tc>
          <w:tcPr>
            <w:tcW w:w="164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ACCEF9">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A部门决策</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C744F0">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B</w:t>
            </w:r>
            <w:r>
              <w:rPr>
                <w:rFonts w:hint="default" w:ascii="Times New Roman" w:hAnsi="Times New Roman" w:eastAsia="方正仿宋_GBK" w:cs="Times New Roman"/>
                <w:color w:val="auto"/>
                <w:kern w:val="0"/>
                <w:sz w:val="24"/>
                <w:szCs w:val="24"/>
              </w:rPr>
              <w:t>部门管理</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2B2AE1">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C部门</w:t>
            </w:r>
            <w:r>
              <w:rPr>
                <w:rFonts w:hint="default" w:ascii="Times New Roman" w:hAnsi="Times New Roman" w:eastAsia="方正仿宋_GBK" w:cs="Times New Roman"/>
                <w:color w:val="auto"/>
                <w:kern w:val="0"/>
                <w:sz w:val="24"/>
                <w:szCs w:val="24"/>
              </w:rPr>
              <w:t>履职</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168817">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D部门效益</w:t>
            </w:r>
          </w:p>
        </w:tc>
        <w:tc>
          <w:tcPr>
            <w:tcW w:w="131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8719C2">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合计</w:t>
            </w:r>
          </w:p>
        </w:tc>
      </w:tr>
      <w:tr w14:paraId="4DD2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AA2333">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权重</w:t>
            </w:r>
          </w:p>
        </w:tc>
        <w:tc>
          <w:tcPr>
            <w:tcW w:w="164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6A633E">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10</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7B8BCF">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30</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2991D2">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35</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3CCEC0">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25</w:t>
            </w:r>
          </w:p>
        </w:tc>
        <w:tc>
          <w:tcPr>
            <w:tcW w:w="131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399A45">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100</w:t>
            </w:r>
          </w:p>
        </w:tc>
      </w:tr>
      <w:tr w14:paraId="28C0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7CD600">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分值</w:t>
            </w:r>
          </w:p>
        </w:tc>
        <w:tc>
          <w:tcPr>
            <w:tcW w:w="164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B626F4">
            <w:pPr>
              <w:jc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val="en-US" w:eastAsia="zh-CN"/>
              </w:rPr>
              <w:t>9</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1E4BC1">
            <w:pPr>
              <w:jc w:val="center"/>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27.76</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F3E490">
            <w:pPr>
              <w:jc w:val="center"/>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30</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A7A868">
            <w:pPr>
              <w:jc w:val="center"/>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24.25</w:t>
            </w:r>
          </w:p>
        </w:tc>
        <w:tc>
          <w:tcPr>
            <w:tcW w:w="131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811D3C">
            <w:pPr>
              <w:jc w:val="center"/>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90.01</w:t>
            </w:r>
          </w:p>
        </w:tc>
      </w:tr>
      <w:tr w14:paraId="4D11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B95A94">
            <w:pPr>
              <w:widowControl/>
              <w:spacing w:line="54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得分率</w:t>
            </w:r>
          </w:p>
        </w:tc>
        <w:tc>
          <w:tcPr>
            <w:tcW w:w="164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FB7953">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90</w:t>
            </w:r>
            <w:r>
              <w:rPr>
                <w:rFonts w:hint="default" w:ascii="Times New Roman" w:hAnsi="Times New Roman" w:eastAsia="方正仿宋_GBK" w:cs="Times New Roman"/>
                <w:color w:val="auto"/>
                <w:sz w:val="24"/>
                <w:szCs w:val="24"/>
              </w:rPr>
              <w:t>%</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401C5E">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92.53</w:t>
            </w:r>
            <w:r>
              <w:rPr>
                <w:rFonts w:hint="default" w:ascii="Times New Roman" w:hAnsi="Times New Roman" w:eastAsia="方正仿宋_GBK" w:cs="Times New Roman"/>
                <w:color w:val="auto"/>
                <w:sz w:val="24"/>
                <w:szCs w:val="24"/>
              </w:rPr>
              <w:t>%</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9FBE1D">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85.71</w:t>
            </w:r>
            <w:r>
              <w:rPr>
                <w:rFonts w:hint="default" w:ascii="Times New Roman" w:hAnsi="Times New Roman" w:eastAsia="方正仿宋_GBK" w:cs="Times New Roman"/>
                <w:color w:val="auto"/>
                <w:sz w:val="24"/>
                <w:szCs w:val="24"/>
              </w:rPr>
              <w:t>%</w:t>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D319A0">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9</w:t>
            </w:r>
            <w:r>
              <w:rPr>
                <w:rFonts w:hint="default" w:ascii="Times New Roman" w:hAnsi="Times New Roman" w:eastAsia="方正仿宋_GBK" w:cs="Times New Roman"/>
                <w:color w:val="auto"/>
                <w:sz w:val="24"/>
                <w:szCs w:val="24"/>
                <w:lang w:val="en-US" w:eastAsia="zh-CN"/>
              </w:rPr>
              <w:t>7</w:t>
            </w:r>
            <w:r>
              <w:rPr>
                <w:rFonts w:hint="default" w:ascii="Times New Roman" w:hAnsi="Times New Roman" w:eastAsia="方正仿宋_GBK" w:cs="Times New Roman"/>
                <w:color w:val="auto"/>
                <w:sz w:val="24"/>
                <w:szCs w:val="24"/>
              </w:rPr>
              <w:t>%</w:t>
            </w:r>
          </w:p>
        </w:tc>
        <w:tc>
          <w:tcPr>
            <w:tcW w:w="131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3F564F">
            <w:pPr>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90.01</w:t>
            </w:r>
            <w:r>
              <w:rPr>
                <w:rFonts w:hint="default" w:ascii="Times New Roman" w:hAnsi="Times New Roman" w:eastAsia="方正仿宋_GBK" w:cs="Times New Roman"/>
                <w:color w:val="auto"/>
                <w:sz w:val="24"/>
                <w:szCs w:val="24"/>
              </w:rPr>
              <w:t>%</w:t>
            </w:r>
          </w:p>
        </w:tc>
      </w:tr>
    </w:tbl>
    <w:p w14:paraId="2738EA21">
      <w:pPr>
        <w:spacing w:line="540" w:lineRule="exac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注</w:t>
      </w:r>
      <w:r>
        <w:rPr>
          <w:rFonts w:hint="default" w:ascii="Times New Roman" w:hAnsi="Times New Roman" w:eastAsia="方正仿宋_GBK" w:cs="Times New Roman"/>
          <w:color w:val="auto"/>
          <w:sz w:val="28"/>
          <w:szCs w:val="28"/>
        </w:rPr>
        <w:t>：各指标具体得分情况见附件。</w:t>
      </w:r>
    </w:p>
    <w:p w14:paraId="3D01747B">
      <w:pPr>
        <w:pStyle w:val="12"/>
        <w:keepNext w:val="0"/>
        <w:keepLines w:val="0"/>
        <w:widowControl/>
        <w:suppressLineNumbers w:val="0"/>
        <w:spacing w:before="0" w:beforeAutospacing="0" w:after="0" w:afterAutospacing="0" w:line="520" w:lineRule="exact"/>
        <w:ind w:right="0" w:firstLine="640" w:firstLineChars="200"/>
        <w:jc w:val="left"/>
        <w:rPr>
          <w:rFonts w:hint="default" w:ascii="方正黑体_GBK" w:hAnsi="方正黑体_GBK" w:eastAsia="方正黑体_GBK" w:cs="方正黑体_GBK"/>
          <w:b w:val="0"/>
          <w:bCs w:val="0"/>
          <w:i w:val="0"/>
          <w:iCs w:val="0"/>
          <w:color w:val="auto"/>
          <w:spacing w:val="0"/>
          <w:w w:val="100"/>
          <w:sz w:val="32"/>
          <w:szCs w:val="32"/>
          <w:vertAlign w:val="baseline"/>
        </w:rPr>
      </w:pPr>
      <w:r>
        <w:rPr>
          <w:rFonts w:hint="eastAsia" w:ascii="方正黑体_GBK" w:hAnsi="方正黑体_GBK" w:eastAsia="方正黑体_GBK" w:cs="方正黑体_GBK"/>
          <w:b w:val="0"/>
          <w:bCs w:val="0"/>
          <w:i w:val="0"/>
          <w:iCs w:val="0"/>
          <w:color w:val="auto"/>
          <w:spacing w:val="0"/>
          <w:w w:val="100"/>
          <w:sz w:val="32"/>
          <w:szCs w:val="32"/>
          <w:vertAlign w:val="baseline"/>
          <w:lang w:val="en-US" w:eastAsia="zh-CN"/>
        </w:rPr>
        <w:t>四</w:t>
      </w:r>
      <w:r>
        <w:rPr>
          <w:rFonts w:hint="default" w:ascii="方正黑体_GBK" w:hAnsi="方正黑体_GBK" w:eastAsia="方正黑体_GBK" w:cs="方正黑体_GBK"/>
          <w:b w:val="0"/>
          <w:bCs w:val="0"/>
          <w:i w:val="0"/>
          <w:iCs w:val="0"/>
          <w:color w:val="auto"/>
          <w:spacing w:val="0"/>
          <w:w w:val="100"/>
          <w:sz w:val="32"/>
          <w:szCs w:val="32"/>
          <w:vertAlign w:val="baseline"/>
        </w:rPr>
        <w:t>、部门履职成效</w:t>
      </w:r>
    </w:p>
    <w:p w14:paraId="76A3C51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color w:val="auto"/>
          <w:spacing w:val="0"/>
          <w:sz w:val="32"/>
          <w:szCs w:val="32"/>
          <w:lang w:eastAsia="zh-CN"/>
        </w:rPr>
        <w:t>（一）服务党和国家对外工作大局</w:t>
      </w:r>
      <w:r>
        <w:rPr>
          <w:rFonts w:hint="default" w:ascii="Times New Roman" w:hAnsi="Times New Roman" w:eastAsia="方正仿宋_GBK" w:cs="Times New Roman"/>
          <w:color w:val="auto"/>
          <w:spacing w:val="0"/>
          <w:sz w:val="32"/>
          <w:szCs w:val="32"/>
        </w:rPr>
        <w:t>。</w:t>
      </w:r>
      <w:r>
        <w:rPr>
          <w:rFonts w:hint="default" w:ascii="Times New Roman" w:hAnsi="Times New Roman" w:eastAsia="方正仿宋_GBK" w:cs="Times New Roman"/>
          <w:b/>
          <w:bCs/>
          <w:color w:val="auto"/>
          <w:spacing w:val="0"/>
          <w:sz w:val="32"/>
          <w:szCs w:val="32"/>
          <w:lang w:eastAsia="zh-CN"/>
        </w:rPr>
        <w:t>推进元首见签友城工作。</w:t>
      </w:r>
      <w:r>
        <w:rPr>
          <w:rFonts w:hint="default" w:ascii="Times New Roman" w:hAnsi="Times New Roman" w:eastAsia="方正仿宋_GBK" w:cs="Times New Roman"/>
          <w:b w:val="0"/>
          <w:bCs w:val="0"/>
          <w:color w:val="auto"/>
          <w:sz w:val="32"/>
          <w:szCs w:val="32"/>
          <w:lang w:val="en-US" w:eastAsia="zh-CN"/>
        </w:rPr>
        <w:t>积极主动向外交部争取，成功将南京与文莱友城工作纳入元首外交议程，2025年2月，南京与文莱首都斯里巴加湾市第二次在习近平总书记见证下签署延长友好城市关系协议书</w:t>
      </w:r>
      <w:r>
        <w:rPr>
          <w:rFonts w:hint="default" w:ascii="Times New Roman" w:hAnsi="Times New Roman" w:eastAsia="方正仿宋_GBK" w:cs="Times New Roman"/>
          <w:b w:val="0"/>
          <w:bCs w:val="0"/>
          <w:color w:val="auto"/>
          <w:sz w:val="32"/>
          <w:szCs w:val="32"/>
          <w:u w:val="none"/>
          <w:lang w:val="en-US" w:eastAsia="zh-CN"/>
        </w:rPr>
        <w:t>。</w:t>
      </w:r>
      <w:r>
        <w:rPr>
          <w:rFonts w:hint="default" w:ascii="Times New Roman" w:hAnsi="Times New Roman" w:eastAsia="方正仿宋_GBK" w:cs="Times New Roman"/>
          <w:b w:val="0"/>
          <w:bCs w:val="0"/>
          <w:color w:val="auto"/>
          <w:sz w:val="32"/>
          <w:szCs w:val="32"/>
          <w:lang w:val="en-US" w:eastAsia="zh-CN"/>
        </w:rPr>
        <w:t>支持举办</w:t>
      </w:r>
      <w:r>
        <w:rPr>
          <w:rFonts w:hint="default" w:ascii="Times New Roman" w:hAnsi="Times New Roman" w:eastAsia="方正仿宋_GBK" w:cs="Times New Roman"/>
          <w:b w:val="0"/>
          <w:bCs w:val="0"/>
          <w:color w:val="auto"/>
          <w:sz w:val="32"/>
          <w:szCs w:val="32"/>
          <w:u w:val="none"/>
          <w:lang w:val="en-US" w:eastAsia="zh-CN"/>
        </w:rPr>
        <w:t>第三届中国—文莱文化艺术节，接待文莱内政部部长、文莱驻华大使、加德满都市政府代表团等来宁访问，</w:t>
      </w:r>
      <w:r>
        <w:rPr>
          <w:rFonts w:hint="default" w:ascii="Times New Roman" w:hAnsi="Times New Roman" w:eastAsia="方正仿宋_GBK" w:cs="Times New Roman"/>
          <w:b w:val="0"/>
          <w:bCs w:val="0"/>
          <w:color w:val="auto"/>
          <w:sz w:val="32"/>
          <w:szCs w:val="32"/>
          <w:lang w:val="en-US" w:eastAsia="zh-CN"/>
        </w:rPr>
        <w:t>推动与见签友城各领域交流合作。</w:t>
      </w:r>
      <w:r>
        <w:rPr>
          <w:rFonts w:hint="default" w:ascii="Times New Roman" w:hAnsi="Times New Roman" w:eastAsia="方正仿宋_GBK" w:cs="Times New Roman"/>
          <w:b/>
          <w:bCs/>
          <w:color w:val="auto"/>
          <w:sz w:val="32"/>
          <w:szCs w:val="32"/>
          <w:u w:val="none"/>
          <w:lang w:val="en-US" w:eastAsia="zh-CN"/>
        </w:rPr>
        <w:t>积极</w:t>
      </w:r>
      <w:r>
        <w:rPr>
          <w:rFonts w:hint="default" w:ascii="Times New Roman" w:hAnsi="Times New Roman" w:eastAsia="方正仿宋_GBK" w:cs="Times New Roman"/>
          <w:b/>
          <w:bCs/>
          <w:color w:val="auto"/>
          <w:sz w:val="32"/>
          <w:szCs w:val="32"/>
          <w:u w:val="none"/>
          <w:lang w:val="en-US" w:eastAsia="zh-CN"/>
        </w:rPr>
        <w:t>服务</w:t>
      </w:r>
      <w:r>
        <w:rPr>
          <w:rFonts w:hint="default" w:ascii="Times New Roman" w:hAnsi="Times New Roman" w:eastAsia="方正仿宋_GBK" w:cs="Times New Roman"/>
          <w:b/>
          <w:bCs/>
          <w:color w:val="auto"/>
          <w:sz w:val="32"/>
          <w:szCs w:val="32"/>
          <w:u w:val="none"/>
          <w:lang w:val="en-US" w:eastAsia="zh-CN"/>
        </w:rPr>
        <w:t>中美关系大局。</w:t>
      </w:r>
      <w:r>
        <w:rPr>
          <w:rFonts w:hint="default" w:ascii="Times New Roman" w:hAnsi="Times New Roman" w:eastAsia="方正仿宋_GBK" w:cs="Times New Roman"/>
          <w:color w:val="auto"/>
          <w:sz w:val="32"/>
          <w:szCs w:val="32"/>
          <w:lang w:val="en-US" w:eastAsia="zh-CN"/>
        </w:rPr>
        <w:t>发挥中美首对友城示范作用，</w:t>
      </w:r>
      <w:r>
        <w:rPr>
          <w:rFonts w:hint="default" w:ascii="Times New Roman" w:hAnsi="Times New Roman" w:eastAsia="方正仿宋_GBK" w:cs="Times New Roman"/>
          <w:b w:val="0"/>
          <w:bCs w:val="0"/>
          <w:color w:val="auto"/>
          <w:sz w:val="32"/>
          <w:szCs w:val="32"/>
          <w:lang w:val="en-US" w:eastAsia="zh-CN"/>
        </w:rPr>
        <w:t>举办南京与圣路易斯结好46周年庆祝活动；</w:t>
      </w:r>
      <w:r>
        <w:rPr>
          <w:rFonts w:hint="default" w:ascii="Times New Roman" w:hAnsi="Times New Roman" w:eastAsia="方正仿宋_GBK" w:cs="Times New Roman"/>
          <w:color w:val="auto"/>
          <w:sz w:val="32"/>
          <w:szCs w:val="32"/>
          <w:lang w:val="en-US" w:eastAsia="zh-CN"/>
        </w:rPr>
        <w:t>挖掘和用好飞虎队资源</w:t>
      </w:r>
      <w:r>
        <w:rPr>
          <w:rFonts w:hint="default" w:ascii="Times New Roman" w:hAnsi="Times New Roman" w:eastAsia="方正仿宋_GBK" w:cs="Times New Roman"/>
          <w:b w:val="0"/>
          <w:bCs w:val="0"/>
          <w:color w:val="auto"/>
          <w:sz w:val="32"/>
          <w:szCs w:val="32"/>
          <w:lang w:val="en-US" w:eastAsia="zh-CN"/>
        </w:rPr>
        <w:t>，接待飞虎队创始人陈纳德将军外孙女嘉兰惠女士、美国“鼓岭之友”召集人穆言灵女士访宁，协助完成76位美国籍抗日航空英烈信息勘误和增补工作；落实“5年5万”倡议，联动驻宁院校邀请600余名美国师生来宁研学交流。</w:t>
      </w:r>
      <w:r>
        <w:rPr>
          <w:rFonts w:hint="default" w:ascii="Times New Roman" w:hAnsi="Times New Roman" w:eastAsia="方正仿宋_GBK" w:cs="Times New Roman"/>
          <w:b/>
          <w:bCs/>
          <w:color w:val="auto"/>
          <w:spacing w:val="0"/>
          <w:sz w:val="32"/>
          <w:szCs w:val="32"/>
          <w:lang w:eastAsia="zh-CN"/>
        </w:rPr>
        <w:t>配合服务重大主题和任务。</w:t>
      </w:r>
      <w:r>
        <w:rPr>
          <w:rFonts w:hint="default" w:ascii="Times New Roman" w:hAnsi="Times New Roman" w:eastAsia="方正仿宋_GBK" w:cs="Times New Roman"/>
          <w:b w:val="0"/>
          <w:bCs w:val="0"/>
          <w:color w:val="auto"/>
          <w:sz w:val="32"/>
          <w:szCs w:val="32"/>
          <w:lang w:val="en-US" w:eastAsia="zh-CN"/>
        </w:rPr>
        <w:t>落实第二届中国—中亚峰会共识成果，推动中国—中亚贸易畅通合作平台正式挂牌。聚焦中亚、阿盟、东盟等重点方向，积极申办主场外交活动。</w:t>
      </w:r>
    </w:p>
    <w:p w14:paraId="39FBC5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（二）坚持和加强党的集中统一领导。</w:t>
      </w:r>
      <w:r>
        <w:rPr>
          <w:rFonts w:hint="default" w:ascii="Times New Roman" w:hAnsi="Times New Roman" w:eastAsia="方正仿宋_GBK" w:cs="Times New Roman"/>
          <w:b/>
          <w:bCs/>
          <w:color w:val="auto"/>
          <w:sz w:val="32"/>
          <w:szCs w:val="32"/>
          <w:lang w:val="en-US" w:eastAsia="zh-CN"/>
        </w:rPr>
        <w:t>强化统筹协调。</w:t>
      </w:r>
      <w:r>
        <w:rPr>
          <w:rFonts w:hint="default" w:ascii="Times New Roman" w:hAnsi="Times New Roman" w:eastAsia="方正仿宋_GBK" w:cs="Times New Roman"/>
          <w:color w:val="auto"/>
          <w:sz w:val="32"/>
          <w:szCs w:val="32"/>
          <w:lang w:eastAsia="zh-CN"/>
        </w:rPr>
        <w:t>召开市委外事工作委员会（市委港澳工作领导小组）会议，及时传达</w:t>
      </w:r>
      <w:r>
        <w:rPr>
          <w:rFonts w:hint="default" w:ascii="Times New Roman" w:hAnsi="Times New Roman" w:eastAsia="方正仿宋_GBK" w:cs="Times New Roman"/>
          <w:b w:val="0"/>
          <w:bCs w:val="0"/>
          <w:color w:val="auto"/>
          <w:sz w:val="32"/>
          <w:szCs w:val="32"/>
          <w:lang w:val="en-US" w:eastAsia="zh-CN"/>
        </w:rPr>
        <w:t>学习中央周边工作会议、省委外事工作委员会会议和省委港澳工作领导小组会议精神，研究部署全市外事港澳领域重要事项和重点工作，</w:t>
      </w:r>
      <w:r>
        <w:rPr>
          <w:rFonts w:hint="default" w:ascii="Times New Roman" w:hAnsi="Times New Roman" w:eastAsia="方正仿宋_GBK" w:cs="Times New Roman"/>
          <w:color w:val="auto"/>
          <w:sz w:val="32"/>
          <w:szCs w:val="32"/>
          <w:lang w:eastAsia="zh-CN"/>
        </w:rPr>
        <w:t>印发实施2025年工作要点，召开市委外事委成员单位专题座谈会、全市外办主任会议和外事工作培训会，推进各区、各部门有效协同、形成合力，提升外事系统履职能力，构建完善“一盘棋”工作格局。</w:t>
      </w:r>
      <w:r>
        <w:rPr>
          <w:rFonts w:hint="default" w:ascii="Times New Roman" w:hAnsi="Times New Roman" w:eastAsia="方正仿宋_GBK" w:cs="Times New Roman"/>
          <w:b/>
          <w:bCs/>
          <w:color w:val="auto"/>
          <w:sz w:val="32"/>
          <w:szCs w:val="32"/>
          <w:lang w:val="en-US" w:eastAsia="zh-CN"/>
        </w:rPr>
        <w:t>严格制度落实。</w:t>
      </w:r>
      <w:r>
        <w:rPr>
          <w:rFonts w:hint="default" w:ascii="Times New Roman" w:hAnsi="Times New Roman" w:eastAsia="方正仿宋_GBK" w:cs="Times New Roman"/>
          <w:b w:val="0"/>
          <w:bCs w:val="0"/>
          <w:color w:val="auto"/>
          <w:sz w:val="32"/>
          <w:szCs w:val="32"/>
          <w:lang w:val="en-US" w:eastAsia="zh-CN"/>
        </w:rPr>
        <w:t>坚持外交大权在党中央，认真贯彻落实《中国共产党领导外事工作条例》、《地方外事工作规定》以及市委外事工作委员会《工作规则》和市委外事工作委员会办公室《工作细则》，严格在授权范围内开展工作，从严</w:t>
      </w:r>
      <w:r>
        <w:rPr>
          <w:rFonts w:hint="default" w:ascii="Times New Roman" w:hAnsi="Times New Roman" w:eastAsia="方正仿宋_GBK" w:cs="Times New Roman"/>
          <w:i w:val="0"/>
          <w:caps w:val="0"/>
          <w:color w:val="auto"/>
          <w:spacing w:val="0"/>
          <w:sz w:val="32"/>
          <w:szCs w:val="32"/>
          <w:shd w:val="clear" w:color="auto" w:fill="FFFFFF"/>
          <w:lang w:eastAsia="zh-CN"/>
        </w:rPr>
        <w:t>落实</w:t>
      </w:r>
      <w:r>
        <w:rPr>
          <w:rFonts w:hint="default" w:ascii="Times New Roman" w:hAnsi="Times New Roman" w:eastAsia="方正仿宋_GBK" w:cs="Times New Roman"/>
          <w:i w:val="0"/>
          <w:caps w:val="0"/>
          <w:color w:val="auto"/>
          <w:spacing w:val="0"/>
          <w:sz w:val="32"/>
          <w:szCs w:val="32"/>
          <w:shd w:val="clear" w:color="auto" w:fill="FFFFFF"/>
          <w:lang w:eastAsia="zh-CN"/>
        </w:rPr>
        <w:t>重要涉外事项预报和请示报告制度</w:t>
      </w:r>
      <w:r>
        <w:rPr>
          <w:rFonts w:hint="default" w:ascii="Times New Roman" w:hAnsi="Times New Roman" w:eastAsia="方正仿宋_GBK" w:cs="Times New Roman"/>
          <w:i w:val="0"/>
          <w:caps w:val="0"/>
          <w:color w:val="auto"/>
          <w:spacing w:val="0"/>
          <w:sz w:val="32"/>
          <w:szCs w:val="32"/>
          <w:shd w:val="clear" w:color="auto" w:fill="FFFFFF"/>
          <w:lang w:eastAsia="zh-CN"/>
        </w:rPr>
        <w:t>。</w:t>
      </w:r>
    </w:p>
    <w:p w14:paraId="3ED6A8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（三）助推全市高质量发展。</w:t>
      </w:r>
      <w:r>
        <w:rPr>
          <w:rFonts w:hint="default" w:ascii="Times New Roman" w:hAnsi="Times New Roman" w:eastAsia="方正仿宋_GBK" w:cs="Times New Roman"/>
          <w:b/>
          <w:bCs/>
          <w:color w:val="auto"/>
          <w:sz w:val="32"/>
          <w:szCs w:val="32"/>
          <w:lang w:val="en-US" w:eastAsia="zh-CN"/>
        </w:rPr>
        <w:t>拓宽经贸合作渠道。</w:t>
      </w:r>
      <w:r>
        <w:rPr>
          <w:rFonts w:hint="default" w:ascii="Times New Roman" w:hAnsi="Times New Roman" w:eastAsia="方正仿宋_GBK" w:cs="Times New Roman"/>
          <w:b w:val="0"/>
          <w:bCs w:val="0"/>
          <w:color w:val="auto"/>
          <w:sz w:val="32"/>
          <w:szCs w:val="32"/>
          <w:u w:val="none"/>
          <w:lang w:val="en-US" w:eastAsia="zh-CN"/>
        </w:rPr>
        <w:t>圆满完成</w:t>
      </w:r>
      <w:r>
        <w:rPr>
          <w:rFonts w:hint="default" w:ascii="Times New Roman" w:hAnsi="Times New Roman" w:eastAsia="方正仿宋_GBK" w:cs="Times New Roman"/>
          <w:b w:val="0"/>
          <w:bCs w:val="0"/>
          <w:color w:val="auto"/>
          <w:sz w:val="32"/>
          <w:szCs w:val="32"/>
          <w:lang w:val="en-US" w:eastAsia="zh-CN"/>
        </w:rPr>
        <w:t>产业科技创新与投资促进大会、金洽会、进博会南京专场等重大活动外宾邀请参访等任务，接待外国政府官员、跨国公司高管等重要团组。</w:t>
      </w:r>
      <w:r>
        <w:rPr>
          <w:rFonts w:hint="default" w:ascii="Times New Roman" w:hAnsi="Times New Roman" w:eastAsia="方正仿宋_GBK" w:cs="Times New Roman"/>
          <w:b/>
          <w:bCs/>
          <w:color w:val="auto"/>
          <w:sz w:val="32"/>
          <w:szCs w:val="32"/>
          <w:u w:val="none"/>
          <w:lang w:val="en-US" w:eastAsia="zh-CN"/>
        </w:rPr>
        <w:t>搭建高能级合作平台。</w:t>
      </w:r>
      <w:r>
        <w:rPr>
          <w:rFonts w:hint="default" w:ascii="Times New Roman" w:hAnsi="Times New Roman" w:eastAsia="方正仿宋_GBK" w:cs="Times New Roman"/>
          <w:b w:val="0"/>
          <w:bCs w:val="0"/>
          <w:color w:val="auto"/>
          <w:sz w:val="32"/>
          <w:szCs w:val="32"/>
          <w:lang w:val="en-US" w:eastAsia="zh-CN"/>
        </w:rPr>
        <w:t>策划举办2025 Innovation Fair欧洲企业南京行暨产业合作对接会系列活动，来自14个国家、5个城市代表以及120余家欧洲政府机构、企业、商协会及国际组织参会，10余家外国公司通过本次活动开启在华业务。举办友城企业走进南</w:t>
      </w:r>
      <w:r>
        <w:rPr>
          <w:rFonts w:hint="default" w:ascii="Times New Roman" w:hAnsi="Times New Roman" w:eastAsia="方正仿宋_GBK" w:cs="Times New Roman"/>
          <w:color w:val="auto"/>
          <w:sz w:val="32"/>
          <w:szCs w:val="32"/>
          <w:lang w:val="en-US" w:eastAsia="zh-CN"/>
        </w:rPr>
        <w:t>京之跨国企业政企圆桌对话会</w:t>
      </w:r>
      <w:r>
        <w:rPr>
          <w:rFonts w:hint="default" w:ascii="Times New Roman" w:hAnsi="Times New Roman" w:eastAsia="方正仿宋_GBK" w:cs="Times New Roman"/>
          <w:b w:val="0"/>
          <w:bCs w:val="0"/>
          <w:color w:val="auto"/>
          <w:sz w:val="32"/>
          <w:szCs w:val="32"/>
          <w:u w:val="none"/>
          <w:lang w:val="en-US" w:eastAsia="zh-CN"/>
        </w:rPr>
        <w:t>，</w:t>
      </w:r>
      <w:r>
        <w:rPr>
          <w:rFonts w:hint="default" w:ascii="Times New Roman" w:hAnsi="Times New Roman" w:eastAsia="方正仿宋_GBK" w:cs="Times New Roman"/>
          <w:color w:val="auto"/>
          <w:sz w:val="32"/>
          <w:szCs w:val="32"/>
          <w:lang w:val="en-US" w:eastAsia="zh-CN"/>
        </w:rPr>
        <w:t>协办“</w:t>
      </w:r>
      <w:r>
        <w:rPr>
          <w:rFonts w:hint="default" w:ascii="Times New Roman" w:hAnsi="Times New Roman" w:eastAsia="方正仿宋_GBK" w:cs="Times New Roman"/>
          <w:b w:val="0"/>
          <w:bCs w:val="0"/>
          <w:color w:val="auto"/>
          <w:sz w:val="32"/>
          <w:szCs w:val="32"/>
          <w:lang w:val="en-US" w:eastAsia="zh-CN"/>
        </w:rPr>
        <w:t>阿联酋机构南京行”、“中法企业走进南京”</w:t>
      </w:r>
      <w:r>
        <w:rPr>
          <w:rFonts w:hint="default" w:ascii="Times New Roman" w:hAnsi="Times New Roman" w:eastAsia="方正仿宋_GBK" w:cs="Times New Roman"/>
          <w:color w:val="auto"/>
          <w:sz w:val="32"/>
          <w:szCs w:val="32"/>
          <w:lang w:val="en-US" w:eastAsia="zh-CN"/>
        </w:rPr>
        <w:t>、Nexus 2025创业大赛活动等，推动落成“南京—墨尔本城市卓越中心”“南京（墨尔本）科技合作创新园”等合作载体</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打造国际化营商环境。</w:t>
      </w:r>
      <w:r>
        <w:rPr>
          <w:rFonts w:hint="default" w:ascii="Times New Roman" w:hAnsi="Times New Roman" w:eastAsia="方正仿宋_GBK" w:cs="Times New Roman"/>
          <w:b w:val="0"/>
          <w:bCs w:val="0"/>
          <w:color w:val="auto"/>
          <w:sz w:val="32"/>
          <w:szCs w:val="32"/>
          <w:lang w:val="en-US" w:eastAsia="zh-CN"/>
        </w:rPr>
        <w:t>实施“</w:t>
      </w:r>
      <w:r>
        <w:rPr>
          <w:rFonts w:hint="default" w:ascii="Times New Roman" w:hAnsi="Times New Roman" w:eastAsia="方正仿宋_GBK" w:cs="Times New Roman"/>
          <w:color w:val="auto"/>
          <w:spacing w:val="0"/>
          <w:sz w:val="32"/>
          <w:szCs w:val="32"/>
          <w:lang w:val="en-US" w:eastAsia="zh-CN"/>
        </w:rPr>
        <w:t>APEC</w:t>
      </w:r>
      <w:r>
        <w:rPr>
          <w:rFonts w:hint="default" w:ascii="Times New Roman" w:hAnsi="Times New Roman" w:eastAsia="方正仿宋_GBK" w:cs="Times New Roman"/>
          <w:b w:val="0"/>
          <w:bCs w:val="0"/>
          <w:color w:val="auto"/>
          <w:sz w:val="32"/>
          <w:szCs w:val="32"/>
          <w:lang w:val="en-US" w:eastAsia="zh-CN"/>
        </w:rPr>
        <w:t>畅行”行动，做好小微企业办卡服务，推进南京智慧外事平台（因公通行证子系统）建设，</w:t>
      </w:r>
      <w:r>
        <w:rPr>
          <w:rFonts w:hint="default" w:ascii="Times New Roman" w:hAnsi="Times New Roman" w:eastAsia="方正仿宋_GBK" w:cs="Times New Roman"/>
          <w:color w:val="auto"/>
          <w:sz w:val="32"/>
          <w:szCs w:val="32"/>
          <w:lang w:val="en-US" w:eastAsia="zh-CN"/>
        </w:rPr>
        <w:t>全力服务企业走出去</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优化市政府网站英文版，出版并推广</w:t>
      </w:r>
      <w:r>
        <w:rPr>
          <w:rFonts w:hint="default" w:ascii="Times New Roman" w:hAnsi="Times New Roman" w:eastAsia="方正仿宋_GBK" w:cs="Times New Roman"/>
          <w:color w:val="auto"/>
          <w:sz w:val="32"/>
          <w:szCs w:val="32"/>
          <w:lang w:val="en-US" w:eastAsia="zh-CN"/>
        </w:rPr>
        <w:t>《南京市公共服务领域英文译写指南》，实施“南京关键词”项目，</w:t>
      </w:r>
      <w:r>
        <w:rPr>
          <w:rFonts w:hint="default" w:ascii="Times New Roman" w:hAnsi="Times New Roman" w:eastAsia="方正仿宋_GBK" w:cs="Times New Roman"/>
          <w:b w:val="0"/>
          <w:bCs w:val="0"/>
          <w:color w:val="auto"/>
          <w:sz w:val="32"/>
          <w:szCs w:val="32"/>
          <w:lang w:val="en-US" w:eastAsia="zh-CN"/>
        </w:rPr>
        <w:t>外籍人士居住便利度进一步提升。</w:t>
      </w:r>
    </w:p>
    <w:p w14:paraId="178101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（四）拓展国际交往和对外传播渠道。</w:t>
      </w:r>
      <w:r>
        <w:rPr>
          <w:rFonts w:hint="default" w:ascii="Times New Roman" w:hAnsi="Times New Roman" w:eastAsia="方正仿宋_GBK" w:cs="Times New Roman"/>
          <w:b/>
          <w:bCs/>
          <w:color w:val="auto"/>
          <w:sz w:val="32"/>
          <w:szCs w:val="32"/>
          <w:lang w:val="en-US" w:eastAsia="zh-CN"/>
        </w:rPr>
        <w:t>织密友城合作网络。</w:t>
      </w:r>
      <w:r>
        <w:rPr>
          <w:rFonts w:hint="default" w:ascii="Times New Roman" w:hAnsi="Times New Roman" w:eastAsia="方正仿宋_GBK" w:cs="Times New Roman"/>
          <w:color w:val="auto"/>
          <w:sz w:val="32"/>
          <w:szCs w:val="32"/>
          <w:lang w:val="en-US" w:eastAsia="zh-CN"/>
        </w:rPr>
        <w:t>以中欧建交</w:t>
      </w:r>
      <w:r>
        <w:rPr>
          <w:rFonts w:hint="default" w:ascii="Times New Roman" w:hAnsi="Times New Roman" w:eastAsia="方正仿宋_GBK" w:cs="Times New Roman"/>
          <w:color w:val="auto"/>
          <w:spacing w:val="0"/>
          <w:kern w:val="2"/>
          <w:sz w:val="32"/>
          <w:szCs w:val="32"/>
          <w:lang w:val="en-US" w:eastAsia="zh-CN" w:bidi="ar-SA"/>
        </w:rPr>
        <w:t>50</w:t>
      </w:r>
      <w:r>
        <w:rPr>
          <w:rFonts w:hint="default" w:ascii="Times New Roman" w:hAnsi="Times New Roman" w:eastAsia="方正仿宋_GBK" w:cs="Times New Roman"/>
          <w:color w:val="auto"/>
          <w:sz w:val="32"/>
          <w:szCs w:val="32"/>
          <w:lang w:val="en-US" w:eastAsia="zh-CN"/>
        </w:rPr>
        <w:t>周年为契机，推动南京与西班牙</w:t>
      </w:r>
      <w:r>
        <w:rPr>
          <w:rFonts w:hint="default" w:ascii="Times New Roman" w:hAnsi="Times New Roman" w:eastAsia="方正仿宋_GBK" w:cs="Times New Roman"/>
          <w:color w:val="auto"/>
          <w:sz w:val="32"/>
          <w:szCs w:val="32"/>
          <w:lang w:eastAsia="zh-CN"/>
        </w:rPr>
        <w:t>萨拉戈萨签署友好协议</w:t>
      </w:r>
      <w:r>
        <w:rPr>
          <w:rFonts w:hint="default" w:ascii="Times New Roman" w:hAnsi="Times New Roman" w:eastAsia="方正仿宋_GBK" w:cs="Times New Roman"/>
          <w:color w:val="auto"/>
          <w:sz w:val="32"/>
          <w:szCs w:val="32"/>
          <w:lang w:val="en-US" w:eastAsia="zh-CN"/>
        </w:rPr>
        <w:t>，第八届进博会期间南京与德国斯图加特举办双城联展，成为首个且唯一在国家展中以城市为主题的双城交流合作展览。指导江宁</w:t>
      </w:r>
      <w:r>
        <w:rPr>
          <w:rFonts w:hint="default" w:ascii="Times New Roman" w:hAnsi="Times New Roman" w:eastAsia="方正仿宋_GBK" w:cs="Times New Roman"/>
          <w:color w:val="auto"/>
          <w:sz w:val="32"/>
          <w:szCs w:val="32"/>
          <w:lang w:eastAsia="zh-CN"/>
        </w:rPr>
        <w:t>区、雨花台区、秦淮区、玄武区分别与意大利拉斯佩齐亚市、德</w:t>
      </w:r>
      <w:r>
        <w:rPr>
          <w:rFonts w:hint="default" w:ascii="Times New Roman" w:hAnsi="Times New Roman" w:eastAsia="方正仿宋_GBK" w:cs="Times New Roman"/>
          <w:color w:val="auto"/>
          <w:sz w:val="32"/>
          <w:szCs w:val="32"/>
          <w:lang w:val="en-US" w:eastAsia="zh-CN"/>
        </w:rPr>
        <w:t>国</w:t>
      </w:r>
      <w:r>
        <w:rPr>
          <w:rFonts w:hint="default" w:ascii="Times New Roman" w:hAnsi="Times New Roman" w:eastAsia="方正仿宋_GBK" w:cs="Times New Roman"/>
          <w:color w:val="auto"/>
          <w:sz w:val="32"/>
          <w:szCs w:val="32"/>
          <w:lang w:eastAsia="zh-CN"/>
        </w:rPr>
        <w:t>迪特福特市、韩国仁川广域市</w:t>
      </w:r>
      <w:r>
        <w:rPr>
          <w:rFonts w:hint="default" w:ascii="Times New Roman" w:hAnsi="Times New Roman" w:eastAsia="方正仿宋_GBK" w:cs="Times New Roman"/>
          <w:color w:val="auto"/>
          <w:sz w:val="32"/>
          <w:szCs w:val="32"/>
          <w:lang w:val="en-US" w:eastAsia="zh-CN"/>
        </w:rPr>
        <w:t>延寿区、</w:t>
      </w:r>
      <w:r>
        <w:rPr>
          <w:rFonts w:hint="default" w:ascii="Times New Roman" w:hAnsi="Times New Roman" w:eastAsia="方正仿宋_GBK" w:cs="Times New Roman"/>
          <w:color w:val="auto"/>
          <w:sz w:val="32"/>
          <w:szCs w:val="32"/>
          <w:lang w:eastAsia="zh-CN"/>
        </w:rPr>
        <w:t>意大利首都罗马二区深化友城合作，</w:t>
      </w:r>
      <w:r>
        <w:rPr>
          <w:rFonts w:hint="default" w:ascii="Times New Roman" w:hAnsi="Times New Roman" w:eastAsia="方正仿宋_GBK" w:cs="Times New Roman"/>
          <w:color w:val="auto"/>
          <w:sz w:val="32"/>
          <w:szCs w:val="32"/>
          <w:lang w:val="en-US" w:eastAsia="zh-CN"/>
        </w:rPr>
        <w:t>目前南京友城达到</w:t>
      </w:r>
      <w:r>
        <w:rPr>
          <w:rFonts w:hint="default" w:ascii="Times New Roman" w:hAnsi="Times New Roman" w:eastAsia="方正仿宋_GBK" w:cs="Times New Roman"/>
          <w:color w:val="auto"/>
          <w:spacing w:val="0"/>
          <w:kern w:val="2"/>
          <w:sz w:val="32"/>
          <w:szCs w:val="32"/>
          <w:lang w:val="en-US" w:eastAsia="zh-CN" w:bidi="ar-SA"/>
        </w:rPr>
        <w:t>110</w:t>
      </w:r>
      <w:r>
        <w:rPr>
          <w:rFonts w:hint="default" w:ascii="Times New Roman" w:hAnsi="Times New Roman" w:eastAsia="方正仿宋_GBK" w:cs="Times New Roman"/>
          <w:color w:val="auto"/>
          <w:sz w:val="32"/>
          <w:szCs w:val="32"/>
          <w:lang w:val="en-US" w:eastAsia="zh-CN"/>
        </w:rPr>
        <w:t>座。</w:t>
      </w:r>
      <w:r>
        <w:rPr>
          <w:rFonts w:hint="default" w:ascii="Times New Roman" w:hAnsi="Times New Roman" w:eastAsia="方正仿宋_GBK" w:cs="Times New Roman"/>
          <w:b/>
          <w:bCs/>
          <w:color w:val="auto"/>
          <w:sz w:val="32"/>
          <w:szCs w:val="32"/>
          <w:lang w:val="en-US" w:eastAsia="zh-CN"/>
        </w:rPr>
        <w:t>参与国际多边合作。</w:t>
      </w:r>
      <w:r>
        <w:rPr>
          <w:rFonts w:hint="default" w:ascii="Times New Roman" w:hAnsi="Times New Roman" w:eastAsia="方正仿宋_GBK" w:cs="Times New Roman"/>
          <w:b w:val="0"/>
          <w:bCs w:val="0"/>
          <w:color w:val="auto"/>
          <w:sz w:val="32"/>
          <w:szCs w:val="32"/>
          <w:u w:val="none"/>
          <w:lang w:val="en-US" w:eastAsia="zh-CN"/>
        </w:rPr>
        <w:t>加强与联合国教科文组织、世界奥林匹克城市联盟、</w:t>
      </w:r>
      <w:r>
        <w:rPr>
          <w:rFonts w:hint="default" w:ascii="Times New Roman" w:hAnsi="Times New Roman" w:eastAsia="方正仿宋_GBK" w:cs="Times New Roman"/>
          <w:color w:val="auto"/>
          <w:spacing w:val="0"/>
          <w:kern w:val="2"/>
          <w:sz w:val="32"/>
          <w:szCs w:val="32"/>
          <w:lang w:val="en-US" w:eastAsia="zh-CN" w:bidi="ar-SA"/>
        </w:rPr>
        <w:t>C40</w:t>
      </w:r>
      <w:r>
        <w:rPr>
          <w:rFonts w:hint="default" w:ascii="Times New Roman" w:hAnsi="Times New Roman" w:eastAsia="方正仿宋_GBK" w:cs="Times New Roman"/>
          <w:b w:val="0"/>
          <w:bCs w:val="0"/>
          <w:color w:val="auto"/>
          <w:sz w:val="32"/>
          <w:szCs w:val="32"/>
          <w:u w:val="none"/>
          <w:lang w:val="en-US" w:eastAsia="zh-CN"/>
        </w:rPr>
        <w:t>城市气候领导联盟等国际组织对接，接待联合国粮农组织总干事一行来宁考察。促成并保障市领导出席第九届</w:t>
      </w:r>
      <w:r>
        <w:rPr>
          <w:rFonts w:hint="default" w:ascii="Times New Roman" w:hAnsi="Times New Roman" w:eastAsia="方正仿宋_GBK" w:cs="Times New Roman"/>
          <w:color w:val="auto"/>
          <w:spacing w:val="0"/>
          <w:kern w:val="2"/>
          <w:sz w:val="32"/>
          <w:szCs w:val="32"/>
          <w:lang w:val="en-US" w:eastAsia="zh-CN" w:bidi="ar-SA"/>
        </w:rPr>
        <w:t>C40</w:t>
      </w:r>
      <w:r>
        <w:rPr>
          <w:rFonts w:hint="default" w:ascii="Times New Roman" w:hAnsi="Times New Roman" w:eastAsia="方正仿宋_GBK" w:cs="Times New Roman"/>
          <w:b w:val="0"/>
          <w:bCs w:val="0"/>
          <w:color w:val="auto"/>
          <w:sz w:val="32"/>
          <w:szCs w:val="32"/>
          <w:u w:val="none"/>
          <w:lang w:val="en-US" w:eastAsia="zh-CN"/>
        </w:rPr>
        <w:t>全球市长峰会并作为东亚城市唯一代表作大会发言，参加2025年世界城地组织理事会会议暨联合国工发组织“城市之桥”十周年特别活动，为全球治理贡献南京智慧。</w:t>
      </w:r>
      <w:r>
        <w:rPr>
          <w:rFonts w:hint="default" w:ascii="Times New Roman" w:hAnsi="Times New Roman" w:eastAsia="方正仿宋_GBK" w:cs="Times New Roman"/>
          <w:b/>
          <w:bCs/>
          <w:color w:val="auto"/>
          <w:sz w:val="32"/>
          <w:szCs w:val="32"/>
          <w:lang w:val="en-US" w:eastAsia="zh-CN"/>
        </w:rPr>
        <w:t>完善民间外交格局。</w:t>
      </w:r>
      <w:r>
        <w:rPr>
          <w:rFonts w:hint="default" w:ascii="Times New Roman" w:hAnsi="Times New Roman" w:eastAsia="方正仿宋_GBK" w:cs="Times New Roman"/>
          <w:b w:val="0"/>
          <w:bCs w:val="0"/>
          <w:color w:val="auto"/>
          <w:sz w:val="32"/>
          <w:szCs w:val="32"/>
          <w:u w:val="none"/>
          <w:lang w:val="en-US" w:eastAsia="zh-CN"/>
        </w:rPr>
        <w:t>探索新时代民间外交城市实践，承办“</w:t>
      </w:r>
      <w:r>
        <w:rPr>
          <w:rFonts w:hint="default" w:ascii="Times New Roman" w:hAnsi="Times New Roman" w:eastAsia="方正仿宋_GBK" w:cs="Times New Roman"/>
          <w:color w:val="auto"/>
          <w:spacing w:val="0"/>
          <w:kern w:val="2"/>
          <w:sz w:val="32"/>
          <w:szCs w:val="32"/>
          <w:lang w:val="en-US" w:eastAsia="zh-CN" w:bidi="ar-SA"/>
        </w:rPr>
        <w:t>2025</w:t>
      </w:r>
      <w:r>
        <w:rPr>
          <w:rFonts w:hint="default" w:ascii="Times New Roman" w:hAnsi="Times New Roman" w:eastAsia="方正仿宋_GBK" w:cs="Times New Roman"/>
          <w:b w:val="0"/>
          <w:bCs w:val="0"/>
          <w:color w:val="auto"/>
          <w:sz w:val="32"/>
          <w:szCs w:val="32"/>
          <w:u w:val="none"/>
          <w:lang w:val="en-US" w:eastAsia="zh-CN"/>
        </w:rPr>
        <w:t>江苏—东盟南亚国家民间友好组织对话会”，接待加纳全国民主大会主席、加勒比多国执政党干部考察团、阿尔及利亚中国友协代表团、印度文艺界知名人士代表团等来宁访问，推进实施友城雕塑互赠等“小而美”项目。</w:t>
      </w:r>
      <w:r>
        <w:rPr>
          <w:rFonts w:hint="default" w:ascii="Times New Roman" w:hAnsi="Times New Roman" w:eastAsia="方正仿宋_GBK" w:cs="Times New Roman"/>
          <w:b/>
          <w:bCs/>
          <w:color w:val="auto"/>
          <w:sz w:val="32"/>
          <w:szCs w:val="32"/>
          <w:lang w:val="en-US" w:eastAsia="zh-CN"/>
        </w:rPr>
        <w:t>提升国际传播效能。</w:t>
      </w:r>
      <w:r>
        <w:rPr>
          <w:rFonts w:hint="default" w:ascii="Times New Roman" w:hAnsi="Times New Roman" w:eastAsia="方正仿宋_GBK" w:cs="Times New Roman"/>
          <w:b w:val="0"/>
          <w:bCs w:val="0"/>
          <w:color w:val="auto"/>
          <w:sz w:val="32"/>
          <w:szCs w:val="32"/>
          <w:lang w:val="en-US" w:eastAsia="zh-CN"/>
        </w:rPr>
        <w:t>借助第七次汉学家文学翻译国际研讨会、世界市长对话和长江文化南京论坛等活动平台，积极讲好中国故事南京篇章。举办外国留学生“坐地铁、逛南京、拍美景”系列活动，擦亮“秋到紫金山”对外文化交流暨外语志愿服务项目品牌，活动成效得到我驻外大使馆肯定。</w:t>
      </w:r>
    </w:p>
    <w:p w14:paraId="0E99A5F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val="0"/>
          <w:bCs w:val="0"/>
          <w:color w:val="auto"/>
          <w:sz w:val="32"/>
          <w:szCs w:val="32"/>
          <w:lang w:val="en-US" w:eastAsia="zh-CN"/>
        </w:rPr>
        <w:t>（五）</w:t>
      </w:r>
      <w:r>
        <w:rPr>
          <w:rFonts w:hint="default" w:ascii="Times New Roman" w:hAnsi="Times New Roman" w:eastAsia="方正仿宋_GBK" w:cs="Times New Roman"/>
          <w:b w:val="0"/>
          <w:color w:val="auto"/>
          <w:kern w:val="2"/>
          <w:sz w:val="32"/>
          <w:szCs w:val="32"/>
          <w:lang w:val="en-US" w:eastAsia="zh-CN" w:bidi="ar-SA"/>
        </w:rPr>
        <w:t>深化宁港澳交流合作。</w:t>
      </w:r>
      <w:r>
        <w:rPr>
          <w:rFonts w:hint="default" w:ascii="Times New Roman" w:hAnsi="Times New Roman" w:eastAsia="方正仿宋_GBK" w:cs="Times New Roman"/>
          <w:color w:val="auto"/>
          <w:sz w:val="32"/>
          <w:szCs w:val="22"/>
          <w:lang w:val="en-US" w:eastAsia="zh-CN"/>
        </w:rPr>
        <w:t>完成</w:t>
      </w:r>
      <w:r>
        <w:rPr>
          <w:rFonts w:hint="default" w:ascii="Times New Roman" w:hAnsi="Times New Roman" w:eastAsia="方正仿宋_GBK" w:cs="Times New Roman"/>
          <w:color w:val="auto"/>
          <w:sz w:val="32"/>
          <w:szCs w:val="22"/>
        </w:rPr>
        <w:t>我市经贸科创代表团及相关团组</w:t>
      </w:r>
      <w:r>
        <w:rPr>
          <w:rFonts w:hint="default" w:ascii="Times New Roman" w:hAnsi="Times New Roman" w:eastAsia="方正仿宋_GBK" w:cs="Times New Roman"/>
          <w:color w:val="auto"/>
          <w:sz w:val="32"/>
          <w:szCs w:val="22"/>
          <w:lang w:eastAsia="zh-CN"/>
        </w:rPr>
        <w:t>访港任务，签约总投资50亿元的玉湖冷链交易中心项目，举办南京（香港）科技创新环境推介交流会，推动创想未来人工智能与机器人教育项目等一批创新成果落地签约。深化</w:t>
      </w:r>
      <w:r>
        <w:rPr>
          <w:rFonts w:hint="default" w:ascii="Times New Roman" w:hAnsi="Times New Roman" w:eastAsia="方正仿宋_GBK" w:cs="Times New Roman"/>
          <w:color w:val="auto"/>
          <w:sz w:val="32"/>
          <w:szCs w:val="22"/>
        </w:rPr>
        <w:t>与粤港澳大湾区战略对接</w:t>
      </w:r>
      <w:r>
        <w:rPr>
          <w:rFonts w:hint="default" w:ascii="Times New Roman" w:hAnsi="Times New Roman" w:eastAsia="方正仿宋_GBK" w:cs="Times New Roman"/>
          <w:color w:val="auto"/>
          <w:sz w:val="32"/>
          <w:szCs w:val="22"/>
          <w:lang w:eastAsia="zh-CN"/>
        </w:rPr>
        <w:t>，推动香港理工大学南京技术创新研究院、</w:t>
      </w:r>
      <w:r>
        <w:rPr>
          <w:rFonts w:hint="default" w:ascii="Times New Roman" w:hAnsi="Times New Roman" w:eastAsia="方正仿宋_GBK" w:cs="Times New Roman"/>
          <w:color w:val="auto"/>
          <w:sz w:val="32"/>
          <w:szCs w:val="32"/>
          <w:lang w:val="en-US" w:eastAsia="zh-CN"/>
        </w:rPr>
        <w:t>南京澳科大科技研究院落地建设，参与</w:t>
      </w:r>
      <w:r>
        <w:rPr>
          <w:rFonts w:hint="default" w:ascii="Times New Roman" w:hAnsi="Times New Roman" w:eastAsia="方正仿宋_GBK" w:cs="Times New Roman"/>
          <w:color w:val="auto"/>
          <w:sz w:val="32"/>
          <w:szCs w:val="22"/>
          <w:lang w:val="en-US" w:eastAsia="zh-CN"/>
        </w:rPr>
        <w:t>举办</w:t>
      </w:r>
      <w:r>
        <w:rPr>
          <w:rFonts w:hint="default" w:ascii="Times New Roman" w:hAnsi="Times New Roman" w:eastAsia="方正仿宋_GBK" w:cs="Times New Roman"/>
          <w:color w:val="auto"/>
          <w:sz w:val="32"/>
          <w:szCs w:val="22"/>
          <w:lang w:eastAsia="zh-CN"/>
        </w:rPr>
        <w:t>江苏省港澳投资企业法律服务月暨南京港澳仲裁院成立十周年活动</w:t>
      </w:r>
      <w:r>
        <w:rPr>
          <w:rFonts w:hint="default" w:ascii="Times New Roman" w:hAnsi="Times New Roman" w:eastAsia="方正仿宋_GBK" w:cs="Times New Roman"/>
          <w:color w:val="auto"/>
          <w:sz w:val="32"/>
          <w:szCs w:val="22"/>
        </w:rPr>
        <w:t>。</w:t>
      </w:r>
      <w:r>
        <w:rPr>
          <w:rFonts w:hint="default" w:ascii="Times New Roman" w:hAnsi="Times New Roman" w:eastAsia="方正仿宋_GBK" w:cs="Times New Roman"/>
          <w:color w:val="auto"/>
          <w:sz w:val="32"/>
          <w:szCs w:val="32"/>
          <w:lang w:val="en-US" w:eastAsia="zh-CN"/>
        </w:rPr>
        <w:t>对接协调</w:t>
      </w:r>
      <w:r>
        <w:rPr>
          <w:rFonts w:hint="default" w:ascii="Times New Roman" w:hAnsi="Times New Roman" w:eastAsia="方正仿宋_GBK" w:cs="Times New Roman"/>
          <w:color w:val="auto"/>
          <w:sz w:val="32"/>
          <w:szCs w:val="22"/>
        </w:rPr>
        <w:t>外国驻澳门（香港）领事官员内地参访团</w:t>
      </w:r>
      <w:r>
        <w:rPr>
          <w:rFonts w:hint="default" w:ascii="Times New Roman" w:hAnsi="Times New Roman" w:eastAsia="方正仿宋_GBK" w:cs="Times New Roman"/>
          <w:color w:val="auto"/>
          <w:sz w:val="32"/>
          <w:szCs w:val="22"/>
          <w:lang w:val="en-US" w:eastAsia="zh-CN"/>
        </w:rPr>
        <w:t>和</w:t>
      </w:r>
      <w:r>
        <w:rPr>
          <w:rFonts w:hint="default" w:ascii="Times New Roman" w:hAnsi="Times New Roman" w:eastAsia="方正仿宋_GBK" w:cs="Times New Roman"/>
          <w:color w:val="auto"/>
          <w:sz w:val="32"/>
          <w:szCs w:val="22"/>
        </w:rPr>
        <w:t>香港公务员国家事务研习班</w:t>
      </w:r>
      <w:r>
        <w:rPr>
          <w:rFonts w:hint="default" w:ascii="Times New Roman" w:hAnsi="Times New Roman" w:eastAsia="方正仿宋_GBK" w:cs="Times New Roman"/>
          <w:color w:val="auto"/>
          <w:sz w:val="32"/>
          <w:szCs w:val="22"/>
          <w:lang w:val="en-US" w:eastAsia="zh-CN"/>
        </w:rPr>
        <w:t>学员来宁参访学习</w:t>
      </w:r>
      <w:r>
        <w:rPr>
          <w:rFonts w:hint="default" w:ascii="Times New Roman" w:hAnsi="Times New Roman" w:eastAsia="方正仿宋_GBK" w:cs="Times New Roman"/>
          <w:color w:val="auto"/>
          <w:sz w:val="32"/>
          <w:szCs w:val="22"/>
        </w:rPr>
        <w:t>。</w:t>
      </w:r>
    </w:p>
    <w:p w14:paraId="43D99284">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caps w:val="0"/>
          <w:color w:val="auto"/>
          <w:spacing w:val="0"/>
          <w:sz w:val="32"/>
          <w:szCs w:val="32"/>
          <w:shd w:val="clear" w:color="auto" w:fill="FFFFFF"/>
          <w:lang w:val="en-US" w:eastAsia="zh-CN"/>
        </w:rPr>
        <w:t>（</w:t>
      </w:r>
      <w:r>
        <w:rPr>
          <w:rFonts w:hint="default" w:ascii="Times New Roman" w:hAnsi="Times New Roman" w:eastAsia="方正仿宋_GBK" w:cs="Times New Roman"/>
          <w:i w:val="0"/>
          <w:caps w:val="0"/>
          <w:color w:val="auto"/>
          <w:spacing w:val="0"/>
          <w:sz w:val="32"/>
          <w:szCs w:val="32"/>
          <w:shd w:val="clear" w:color="auto" w:fill="FFFFFF"/>
          <w:lang w:val="en-US" w:eastAsia="zh-CN"/>
        </w:rPr>
        <w:t>六</w:t>
      </w:r>
      <w:r>
        <w:rPr>
          <w:rFonts w:hint="default" w:ascii="Times New Roman" w:hAnsi="Times New Roman" w:eastAsia="方正仿宋_GBK" w:cs="Times New Roman"/>
          <w:i w:val="0"/>
          <w:caps w:val="0"/>
          <w:color w:val="auto"/>
          <w:spacing w:val="0"/>
          <w:sz w:val="32"/>
          <w:szCs w:val="32"/>
          <w:shd w:val="clear" w:color="auto" w:fill="FFFFFF"/>
          <w:lang w:val="en-US" w:eastAsia="zh-CN"/>
        </w:rPr>
        <w:t>）加强政治机关建设。</w:t>
      </w:r>
      <w:r>
        <w:rPr>
          <w:rFonts w:hint="default" w:ascii="Times New Roman" w:hAnsi="Times New Roman" w:eastAsia="方正仿宋_GBK" w:cs="Times New Roman"/>
          <w:b/>
          <w:bCs/>
          <w:i w:val="0"/>
          <w:caps w:val="0"/>
          <w:color w:val="auto"/>
          <w:spacing w:val="0"/>
          <w:sz w:val="32"/>
          <w:szCs w:val="32"/>
          <w:shd w:val="clear" w:color="auto" w:fill="FFFFFF"/>
          <w:lang w:eastAsia="zh-CN"/>
        </w:rPr>
        <w:t>深化思想理论武装。</w:t>
      </w:r>
      <w:r>
        <w:rPr>
          <w:rFonts w:hint="default" w:ascii="Times New Roman" w:hAnsi="Times New Roman" w:eastAsia="方正仿宋_GBK" w:cs="Times New Roman"/>
          <w:color w:val="auto"/>
          <w:sz w:val="32"/>
          <w:szCs w:val="32"/>
          <w:lang w:eastAsia="zh-CN"/>
        </w:rPr>
        <w:t>严格落实“第一议题”制度，利用</w:t>
      </w:r>
      <w:r>
        <w:rPr>
          <w:rFonts w:hint="default" w:ascii="Times New Roman" w:hAnsi="Times New Roman" w:eastAsia="方正仿宋_GBK" w:cs="Times New Roman"/>
          <w:color w:val="auto"/>
          <w:sz w:val="32"/>
          <w:szCs w:val="32"/>
        </w:rPr>
        <w:t>党组会</w:t>
      </w:r>
      <w:r>
        <w:rPr>
          <w:rFonts w:hint="default" w:ascii="Times New Roman" w:hAnsi="Times New Roman" w:eastAsia="方正仿宋_GBK" w:cs="Times New Roman"/>
          <w:color w:val="auto"/>
          <w:sz w:val="32"/>
          <w:szCs w:val="32"/>
          <w:lang w:eastAsia="zh-CN"/>
        </w:rPr>
        <w:t>、月例会、周例会等形式第一时间</w:t>
      </w:r>
      <w:r>
        <w:rPr>
          <w:rFonts w:hint="default" w:ascii="Times New Roman" w:hAnsi="Times New Roman" w:eastAsia="方正仿宋_GBK" w:cs="Times New Roman"/>
          <w:color w:val="auto"/>
          <w:sz w:val="32"/>
          <w:szCs w:val="32"/>
        </w:rPr>
        <w:t>学习习近平总书记重要讲话重要指示精神</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研究制定</w:t>
      </w:r>
      <w:r>
        <w:rPr>
          <w:rFonts w:hint="default" w:ascii="Times New Roman" w:hAnsi="Times New Roman" w:eastAsia="方正仿宋_GBK" w:cs="Times New Roman"/>
          <w:color w:val="auto"/>
          <w:sz w:val="32"/>
          <w:szCs w:val="32"/>
        </w:rPr>
        <w:t>外办党组理论学习中心组年度学习计划，</w:t>
      </w:r>
      <w:r>
        <w:rPr>
          <w:rFonts w:hint="default" w:ascii="Times New Roman" w:hAnsi="Times New Roman" w:eastAsia="方正仿宋_GBK" w:cs="Times New Roman"/>
          <w:color w:val="auto"/>
          <w:sz w:val="32"/>
          <w:szCs w:val="32"/>
          <w:lang w:eastAsia="zh-CN"/>
        </w:rPr>
        <w:t>组织</w:t>
      </w:r>
      <w:r>
        <w:rPr>
          <w:rFonts w:hint="default" w:ascii="Times New Roman" w:hAnsi="Times New Roman" w:eastAsia="方正仿宋_GBK" w:cs="Times New Roman"/>
          <w:color w:val="auto"/>
          <w:sz w:val="32"/>
          <w:szCs w:val="32"/>
        </w:rPr>
        <w:t>党的二十届四中全会精神集中学习</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开展</w:t>
      </w:r>
      <w:r>
        <w:rPr>
          <w:rFonts w:hint="default" w:ascii="Times New Roman" w:hAnsi="Times New Roman" w:eastAsia="方正仿宋_GBK" w:cs="Times New Roman"/>
          <w:color w:val="auto"/>
          <w:sz w:val="32"/>
          <w:szCs w:val="32"/>
        </w:rPr>
        <w:t>深入贯彻中央八项规定精神学习教育</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外办党建研究课题荣获2025年度全</w:t>
      </w:r>
      <w:r>
        <w:rPr>
          <w:rFonts w:hint="default" w:ascii="Times New Roman" w:hAnsi="Times New Roman" w:eastAsia="方正仿宋_GBK" w:cs="Times New Roman"/>
          <w:b w:val="0"/>
          <w:bCs w:val="0"/>
          <w:color w:val="auto"/>
          <w:sz w:val="32"/>
          <w:szCs w:val="32"/>
          <w:lang w:eastAsia="zh-CN"/>
        </w:rPr>
        <w:t>市机关党建课题研究成果一等奖。</w:t>
      </w:r>
      <w:r>
        <w:rPr>
          <w:rFonts w:hint="default" w:ascii="Times New Roman" w:hAnsi="Times New Roman" w:eastAsia="方正仿宋_GBK" w:cs="Times New Roman"/>
          <w:b w:val="0"/>
          <w:bCs w:val="0"/>
          <w:i w:val="0"/>
          <w:caps w:val="0"/>
          <w:color w:val="auto"/>
          <w:spacing w:val="0"/>
          <w:sz w:val="32"/>
          <w:szCs w:val="32"/>
          <w:shd w:val="clear" w:color="auto" w:fill="FFFFFF"/>
          <w:lang w:eastAsia="zh-CN"/>
        </w:rPr>
        <w:t>加强干部队伍建设。</w:t>
      </w:r>
      <w:r>
        <w:rPr>
          <w:rFonts w:hint="default" w:ascii="Times New Roman" w:hAnsi="Times New Roman" w:eastAsia="方正仿宋_GBK" w:cs="Times New Roman"/>
          <w:b w:val="0"/>
          <w:bCs w:val="0"/>
          <w:color w:val="auto"/>
          <w:sz w:val="32"/>
          <w:szCs w:val="32"/>
          <w:lang w:eastAsia="zh-CN"/>
        </w:rPr>
        <w:t>树立</w:t>
      </w:r>
      <w:r>
        <w:rPr>
          <w:rFonts w:hint="default" w:ascii="Times New Roman" w:hAnsi="Times New Roman" w:eastAsia="方正仿宋_GBK" w:cs="Times New Roman"/>
          <w:b w:val="0"/>
          <w:bCs w:val="0"/>
          <w:color w:val="auto"/>
          <w:sz w:val="32"/>
          <w:szCs w:val="32"/>
        </w:rPr>
        <w:t>正</w:t>
      </w:r>
      <w:r>
        <w:rPr>
          <w:rFonts w:hint="default" w:ascii="Times New Roman" w:hAnsi="Times New Roman" w:eastAsia="方正仿宋_GBK" w:cs="Times New Roman"/>
          <w:color w:val="auto"/>
          <w:sz w:val="32"/>
          <w:szCs w:val="32"/>
        </w:rPr>
        <w:t>确选人用人导向，规范</w:t>
      </w:r>
      <w:r>
        <w:rPr>
          <w:rFonts w:hint="default" w:ascii="Times New Roman" w:hAnsi="Times New Roman" w:eastAsia="方正仿宋_GBK" w:cs="Times New Roman"/>
          <w:color w:val="auto"/>
          <w:sz w:val="32"/>
          <w:szCs w:val="32"/>
          <w:lang w:eastAsia="zh-CN"/>
        </w:rPr>
        <w:t>开展</w:t>
      </w:r>
      <w:r>
        <w:rPr>
          <w:rFonts w:hint="default" w:ascii="Times New Roman" w:hAnsi="Times New Roman" w:eastAsia="方正仿宋_GBK" w:cs="Times New Roman"/>
          <w:color w:val="auto"/>
          <w:sz w:val="32"/>
          <w:szCs w:val="32"/>
        </w:rPr>
        <w:t>干部选拔任用</w:t>
      </w:r>
      <w:r>
        <w:rPr>
          <w:rFonts w:hint="default" w:ascii="Times New Roman" w:hAnsi="Times New Roman" w:eastAsia="方正仿宋_GBK" w:cs="Times New Roman"/>
          <w:color w:val="auto"/>
          <w:sz w:val="32"/>
          <w:szCs w:val="32"/>
          <w:lang w:eastAsia="zh-CN"/>
        </w:rPr>
        <w:t>和职级晋升</w:t>
      </w:r>
      <w:r>
        <w:rPr>
          <w:rFonts w:hint="default" w:ascii="Times New Roman" w:hAnsi="Times New Roman" w:eastAsia="方正仿宋_GBK" w:cs="Times New Roman"/>
          <w:color w:val="auto"/>
          <w:sz w:val="32"/>
          <w:szCs w:val="32"/>
        </w:rPr>
        <w:t>。修订《市外办干部队伍建设五年规划（2025</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2030）》，</w:t>
      </w:r>
      <w:r>
        <w:rPr>
          <w:rFonts w:hint="default" w:ascii="Times New Roman" w:hAnsi="Times New Roman" w:eastAsia="方正仿宋_GBK" w:cs="Times New Roman"/>
          <w:color w:val="auto"/>
          <w:sz w:val="32"/>
          <w:szCs w:val="32"/>
          <w:lang w:eastAsia="zh-CN"/>
        </w:rPr>
        <w:t>优化干部考核体系，安排</w:t>
      </w:r>
      <w:r>
        <w:rPr>
          <w:rFonts w:hint="default" w:ascii="Times New Roman" w:hAnsi="Times New Roman" w:eastAsia="方正仿宋_GBK" w:cs="Times New Roman"/>
          <w:color w:val="auto"/>
          <w:sz w:val="32"/>
          <w:szCs w:val="32"/>
          <w:lang w:val="en-US" w:eastAsia="zh-CN"/>
        </w:rPr>
        <w:t>93人次</w:t>
      </w:r>
      <w:r>
        <w:rPr>
          <w:rFonts w:hint="default" w:ascii="Times New Roman" w:hAnsi="Times New Roman" w:eastAsia="方正仿宋_GBK" w:cs="Times New Roman"/>
          <w:color w:val="auto"/>
          <w:sz w:val="32"/>
          <w:szCs w:val="32"/>
        </w:rPr>
        <w:t>参加省市相关部门组织的各类培训。召开</w:t>
      </w:r>
      <w:r>
        <w:rPr>
          <w:rFonts w:hint="default" w:ascii="Times New Roman" w:hAnsi="Times New Roman" w:eastAsia="方正仿宋_GBK" w:cs="Times New Roman"/>
          <w:color w:val="auto"/>
          <w:sz w:val="32"/>
          <w:szCs w:val="32"/>
          <w:lang w:eastAsia="zh-CN"/>
        </w:rPr>
        <w:t>科级</w:t>
      </w:r>
      <w:r>
        <w:rPr>
          <w:rFonts w:hint="default" w:ascii="Times New Roman" w:hAnsi="Times New Roman" w:eastAsia="方正仿宋_GBK" w:cs="Times New Roman"/>
          <w:color w:val="auto"/>
          <w:sz w:val="32"/>
          <w:szCs w:val="32"/>
        </w:rPr>
        <w:t>干部座谈会</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定期举办</w:t>
      </w:r>
      <w:r>
        <w:rPr>
          <w:rFonts w:hint="default" w:ascii="Times New Roman" w:hAnsi="Times New Roman" w:eastAsia="方正仿宋_GBK" w:cs="Times New Roman"/>
          <w:color w:val="auto"/>
          <w:sz w:val="32"/>
          <w:szCs w:val="32"/>
        </w:rPr>
        <w:t>“外办讲坛”，</w:t>
      </w:r>
      <w:r>
        <w:rPr>
          <w:rFonts w:hint="default" w:ascii="Times New Roman" w:hAnsi="Times New Roman" w:eastAsia="方正仿宋_GBK" w:cs="Times New Roman"/>
          <w:color w:val="auto"/>
          <w:sz w:val="32"/>
          <w:szCs w:val="32"/>
          <w:lang w:eastAsia="zh-CN"/>
        </w:rPr>
        <w:t>为年轻干部成长搭建</w:t>
      </w:r>
      <w:r>
        <w:rPr>
          <w:rFonts w:hint="default" w:ascii="Times New Roman" w:hAnsi="Times New Roman" w:eastAsia="方正仿宋_GBK" w:cs="Times New Roman"/>
          <w:color w:val="auto"/>
          <w:sz w:val="32"/>
          <w:szCs w:val="32"/>
        </w:rPr>
        <w:t>平台。</w:t>
      </w:r>
      <w:r>
        <w:rPr>
          <w:rFonts w:hint="default" w:ascii="Times New Roman" w:hAnsi="Times New Roman" w:eastAsia="方正仿宋_GBK" w:cs="Times New Roman"/>
          <w:color w:val="auto"/>
          <w:sz w:val="32"/>
          <w:szCs w:val="32"/>
          <w:lang w:eastAsia="zh-CN"/>
        </w:rPr>
        <w:t>坚持严管厚爱并重，</w:t>
      </w:r>
      <w:r>
        <w:rPr>
          <w:rFonts w:hint="default" w:ascii="Times New Roman" w:hAnsi="Times New Roman" w:eastAsia="方正仿宋_GBK" w:cs="Times New Roman"/>
          <w:color w:val="auto"/>
          <w:sz w:val="32"/>
          <w:szCs w:val="32"/>
        </w:rPr>
        <w:t>严格个人事项填报核查和因私出国</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管理，</w:t>
      </w:r>
      <w:r>
        <w:rPr>
          <w:rFonts w:hint="default" w:ascii="Times New Roman" w:hAnsi="Times New Roman" w:eastAsia="方正仿宋_GBK" w:cs="Times New Roman"/>
          <w:color w:val="auto"/>
          <w:sz w:val="32"/>
          <w:szCs w:val="32"/>
          <w:lang w:eastAsia="zh-CN"/>
        </w:rPr>
        <w:t>常态化落实干部谈心谈话制度。</w:t>
      </w:r>
      <w:r>
        <w:rPr>
          <w:rFonts w:hint="default" w:ascii="Times New Roman" w:hAnsi="Times New Roman" w:eastAsia="方正仿宋_GBK" w:cs="Times New Roman"/>
          <w:b/>
          <w:bCs/>
          <w:color w:val="auto"/>
          <w:sz w:val="32"/>
          <w:szCs w:val="32"/>
        </w:rPr>
        <w:t>提升基层党建质效。</w:t>
      </w:r>
      <w:r>
        <w:rPr>
          <w:rFonts w:hint="default" w:ascii="Times New Roman" w:hAnsi="Times New Roman" w:eastAsia="方正仿宋_GBK" w:cs="Times New Roman"/>
          <w:color w:val="auto"/>
          <w:sz w:val="32"/>
          <w:szCs w:val="32"/>
          <w:lang w:eastAsia="zh-CN"/>
        </w:rPr>
        <w:t>持续</w:t>
      </w:r>
      <w:r>
        <w:rPr>
          <w:rFonts w:hint="default" w:ascii="Times New Roman" w:hAnsi="Times New Roman" w:eastAsia="方正仿宋_GBK" w:cs="Times New Roman"/>
          <w:color w:val="auto"/>
          <w:sz w:val="32"/>
          <w:szCs w:val="32"/>
        </w:rPr>
        <w:t>推进“双结对、双促进”工作，完成建设“友好建邺·蜂行莫愁”友好小区的年度重点攻坚项目，举办“涉外服务进社区”等特色活动，助力基层治理工作。深化“四强”党支部建设，开展党支部书记抓党建述职评议考核工作。坚持“一支部一特色”，推动外办党支部开展共建活动20</w:t>
      </w:r>
      <w:r>
        <w:rPr>
          <w:rFonts w:hint="default" w:ascii="Times New Roman" w:hAnsi="Times New Roman" w:eastAsia="方正仿宋_GBK" w:cs="Times New Roman"/>
          <w:color w:val="auto"/>
          <w:sz w:val="32"/>
          <w:szCs w:val="32"/>
          <w:lang w:eastAsia="zh-CN"/>
        </w:rPr>
        <w:t>余</w:t>
      </w:r>
      <w:r>
        <w:rPr>
          <w:rFonts w:hint="default" w:ascii="Times New Roman" w:hAnsi="Times New Roman" w:eastAsia="方正仿宋_GBK" w:cs="Times New Roman"/>
          <w:color w:val="auto"/>
          <w:sz w:val="32"/>
          <w:szCs w:val="32"/>
        </w:rPr>
        <w:t>次。</w:t>
      </w:r>
      <w:r>
        <w:rPr>
          <w:rFonts w:hint="default" w:ascii="Times New Roman" w:hAnsi="Times New Roman" w:eastAsia="方正仿宋_GBK" w:cs="Times New Roman"/>
          <w:b/>
          <w:bCs/>
          <w:color w:val="auto"/>
          <w:sz w:val="32"/>
          <w:szCs w:val="32"/>
          <w:lang w:eastAsia="zh-CN"/>
        </w:rPr>
        <w:t>强化廉政作风建设。</w:t>
      </w:r>
      <w:r>
        <w:rPr>
          <w:rFonts w:hint="default" w:ascii="Times New Roman" w:hAnsi="Times New Roman" w:eastAsia="方正仿宋_GBK" w:cs="Times New Roman"/>
          <w:color w:val="auto"/>
          <w:sz w:val="32"/>
          <w:szCs w:val="32"/>
          <w:lang w:eastAsia="zh-CN"/>
        </w:rPr>
        <w:t>围绕</w:t>
      </w:r>
      <w:r>
        <w:rPr>
          <w:rFonts w:hint="default" w:ascii="Times New Roman" w:hAnsi="Times New Roman" w:eastAsia="方正仿宋_GBK" w:cs="Times New Roman"/>
          <w:color w:val="auto"/>
          <w:sz w:val="32"/>
          <w:szCs w:val="32"/>
        </w:rPr>
        <w:t>春节、</w:t>
      </w:r>
      <w:r>
        <w:rPr>
          <w:rFonts w:hint="default" w:ascii="Times New Roman" w:hAnsi="Times New Roman" w:eastAsia="方正仿宋_GBK" w:cs="Times New Roman"/>
          <w:color w:val="auto"/>
          <w:sz w:val="32"/>
          <w:szCs w:val="32"/>
          <w:lang w:eastAsia="zh-CN"/>
        </w:rPr>
        <w:t>五一、</w:t>
      </w:r>
      <w:r>
        <w:rPr>
          <w:rFonts w:hint="default" w:ascii="Times New Roman" w:hAnsi="Times New Roman" w:eastAsia="方正仿宋_GBK" w:cs="Times New Roman"/>
          <w:color w:val="auto"/>
          <w:sz w:val="32"/>
          <w:szCs w:val="32"/>
        </w:rPr>
        <w:t>国庆等</w:t>
      </w:r>
      <w:r>
        <w:rPr>
          <w:rFonts w:hint="default" w:ascii="Times New Roman" w:hAnsi="Times New Roman" w:eastAsia="方正仿宋_GBK" w:cs="Times New Roman"/>
          <w:color w:val="auto"/>
          <w:sz w:val="32"/>
          <w:szCs w:val="32"/>
          <w:lang w:eastAsia="zh-CN"/>
        </w:rPr>
        <w:t>重要节点</w:t>
      </w:r>
      <w:r>
        <w:rPr>
          <w:rFonts w:hint="default" w:ascii="Times New Roman" w:hAnsi="Times New Roman" w:eastAsia="方正仿宋_GBK" w:cs="Times New Roman"/>
          <w:color w:val="auto"/>
          <w:sz w:val="32"/>
          <w:szCs w:val="32"/>
        </w:rPr>
        <w:t>，及时通报违规违纪典型案例</w:t>
      </w:r>
      <w:r>
        <w:rPr>
          <w:rFonts w:hint="default" w:ascii="Times New Roman" w:hAnsi="Times New Roman" w:eastAsia="方正仿宋_GBK" w:cs="Times New Roman"/>
          <w:color w:val="auto"/>
          <w:sz w:val="32"/>
          <w:szCs w:val="32"/>
          <w:lang w:eastAsia="zh-CN"/>
        </w:rPr>
        <w:t>，定期</w:t>
      </w:r>
      <w:r>
        <w:rPr>
          <w:rFonts w:hint="default" w:ascii="Times New Roman" w:hAnsi="Times New Roman" w:eastAsia="方正仿宋_GBK" w:cs="Times New Roman"/>
          <w:color w:val="auto"/>
          <w:sz w:val="32"/>
          <w:szCs w:val="32"/>
        </w:rPr>
        <w:t>转发廉政短信</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紧盯处室负责人、新提拔干部、年轻干部、关键岗位干部，</w:t>
      </w:r>
      <w:r>
        <w:rPr>
          <w:rFonts w:hint="default" w:ascii="Times New Roman" w:hAnsi="Times New Roman" w:eastAsia="方正仿宋_GBK" w:cs="Times New Roman"/>
          <w:color w:val="auto"/>
          <w:sz w:val="32"/>
          <w:szCs w:val="32"/>
          <w:lang w:eastAsia="zh-CN"/>
        </w:rPr>
        <w:t>开展</w:t>
      </w:r>
      <w:r>
        <w:rPr>
          <w:rFonts w:hint="default" w:ascii="Times New Roman" w:hAnsi="Times New Roman" w:eastAsia="方正仿宋_GBK" w:cs="Times New Roman"/>
          <w:color w:val="auto"/>
          <w:sz w:val="32"/>
          <w:szCs w:val="32"/>
        </w:rPr>
        <w:t>集中警示教育10次，</w:t>
      </w:r>
      <w:r>
        <w:rPr>
          <w:rFonts w:hint="default" w:ascii="Times New Roman" w:hAnsi="Times New Roman" w:eastAsia="方正仿宋_GBK" w:cs="Times New Roman"/>
          <w:color w:val="auto"/>
          <w:sz w:val="32"/>
          <w:szCs w:val="32"/>
          <w:lang w:eastAsia="zh-CN"/>
        </w:rPr>
        <w:t>举办“好家风</w:t>
      </w:r>
      <w:r>
        <w:rPr>
          <w:rFonts w:hint="default" w:ascii="Times New Roman" w:hAnsi="Times New Roman" w:eastAsia="方正仿宋_GBK" w:cs="Times New Roman"/>
          <w:color w:val="auto"/>
          <w:sz w:val="32"/>
          <w:szCs w:val="32"/>
          <w:lang w:val="en-US" w:eastAsia="zh-CN"/>
        </w:rPr>
        <w:t xml:space="preserve"> 好人生</w:t>
      </w:r>
      <w:r>
        <w:rPr>
          <w:rFonts w:hint="default" w:ascii="Times New Roman" w:hAnsi="Times New Roman" w:eastAsia="方正仿宋_GBK" w:cs="Times New Roman"/>
          <w:color w:val="auto"/>
          <w:sz w:val="32"/>
          <w:szCs w:val="32"/>
          <w:lang w:eastAsia="zh-CN"/>
        </w:rPr>
        <w:t>”廉洁课堂，</w:t>
      </w:r>
      <w:r>
        <w:rPr>
          <w:rFonts w:hint="default" w:ascii="Times New Roman" w:hAnsi="Times New Roman" w:eastAsia="方正仿宋_GBK" w:cs="Times New Roman"/>
          <w:color w:val="auto"/>
          <w:sz w:val="32"/>
          <w:szCs w:val="32"/>
        </w:rPr>
        <w:t>参与市级机关“一封廉洁家书”征集活动。常态化抓好整治违规吃喝、整治形式主义为基层减负等重点工作</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推进2024年度作风建设满意度评议反馈意见整改，不断</w:t>
      </w:r>
      <w:r>
        <w:rPr>
          <w:rFonts w:hint="default" w:ascii="Times New Roman" w:hAnsi="Times New Roman" w:eastAsia="方正仿宋_GBK" w:cs="Times New Roman"/>
          <w:color w:val="auto"/>
          <w:sz w:val="32"/>
          <w:szCs w:val="32"/>
          <w:lang w:eastAsia="zh-CN"/>
        </w:rPr>
        <w:t>提升</w:t>
      </w:r>
      <w:r>
        <w:rPr>
          <w:rFonts w:hint="default" w:ascii="Times New Roman" w:hAnsi="Times New Roman" w:eastAsia="方正仿宋_GBK" w:cs="Times New Roman"/>
          <w:color w:val="auto"/>
          <w:sz w:val="32"/>
          <w:szCs w:val="32"/>
        </w:rPr>
        <w:t>外办机关作风。</w:t>
      </w:r>
    </w:p>
    <w:p w14:paraId="368AC80D">
      <w:pPr>
        <w:pStyle w:val="12"/>
        <w:keepNext w:val="0"/>
        <w:keepLines w:val="0"/>
        <w:widowControl/>
        <w:suppressLineNumbers w:val="0"/>
        <w:spacing w:before="0" w:beforeAutospacing="0" w:after="0" w:afterAutospacing="0" w:line="520" w:lineRule="exact"/>
        <w:ind w:right="0" w:firstLine="640" w:firstLineChars="200"/>
        <w:jc w:val="left"/>
        <w:rPr>
          <w:rFonts w:hint="default" w:ascii="方正黑体_GBK" w:hAnsi="方正黑体_GBK" w:eastAsia="方正黑体_GBK" w:cs="方正黑体_GBK"/>
          <w:b w:val="0"/>
          <w:bCs w:val="0"/>
          <w:i w:val="0"/>
          <w:iCs w:val="0"/>
          <w:color w:val="auto"/>
          <w:spacing w:val="0"/>
          <w:w w:val="100"/>
          <w:sz w:val="32"/>
          <w:szCs w:val="32"/>
          <w:vertAlign w:val="baseline"/>
        </w:rPr>
      </w:pPr>
      <w:r>
        <w:rPr>
          <w:rFonts w:hint="eastAsia" w:ascii="方正黑体_GBK" w:hAnsi="方正黑体_GBK" w:eastAsia="方正黑体_GBK" w:cs="方正黑体_GBK"/>
          <w:b w:val="0"/>
          <w:bCs w:val="0"/>
          <w:i w:val="0"/>
          <w:iCs w:val="0"/>
          <w:color w:val="auto"/>
          <w:spacing w:val="0"/>
          <w:w w:val="100"/>
          <w:sz w:val="32"/>
          <w:szCs w:val="32"/>
          <w:vertAlign w:val="baseline"/>
          <w:lang w:val="en-US" w:eastAsia="zh-CN"/>
        </w:rPr>
        <w:t>五</w:t>
      </w:r>
      <w:r>
        <w:rPr>
          <w:rFonts w:hint="default" w:ascii="方正黑体_GBK" w:hAnsi="方正黑体_GBK" w:eastAsia="方正黑体_GBK" w:cs="方正黑体_GBK"/>
          <w:b w:val="0"/>
          <w:bCs w:val="0"/>
          <w:i w:val="0"/>
          <w:iCs w:val="0"/>
          <w:color w:val="auto"/>
          <w:spacing w:val="0"/>
          <w:w w:val="100"/>
          <w:sz w:val="32"/>
          <w:szCs w:val="32"/>
          <w:vertAlign w:val="baseline"/>
        </w:rPr>
        <w:t>、存在问题及原因分析</w:t>
      </w:r>
      <w:bookmarkStart w:id="21" w:name="_Toc82176931"/>
    </w:p>
    <w:p w14:paraId="5AA32086">
      <w:pPr>
        <w:pStyle w:val="12"/>
        <w:keepNext w:val="0"/>
        <w:keepLines w:val="0"/>
        <w:widowControl/>
        <w:suppressLineNumbers w:val="0"/>
        <w:spacing w:before="0" w:beforeAutospacing="0" w:after="0" w:afterAutospacing="0" w:line="520" w:lineRule="exact"/>
        <w:ind w:right="0" w:firstLine="640" w:firstLineChars="200"/>
        <w:jc w:val="left"/>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b/>
          <w:bCs/>
          <w:color w:val="auto"/>
          <w:kern w:val="0"/>
          <w:sz w:val="32"/>
          <w:szCs w:val="32"/>
          <w:lang w:val="zh-CN" w:bidi="zh-CN"/>
        </w:rPr>
        <w:t>（一）存在的问题</w:t>
      </w:r>
      <w:bookmarkEnd w:id="21"/>
    </w:p>
    <w:p w14:paraId="261C436A">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年初计划安排的友城公务员来宁培训计划和国际友谊公园建设项目，因国际形势变化未能按计划组织，相关费用已调整用于举办其他主场外事活动</w:t>
      </w:r>
      <w:r>
        <w:rPr>
          <w:rFonts w:hint="default" w:ascii="Times New Roman" w:hAnsi="Times New Roman" w:eastAsia="方正仿宋_GBK" w:cs="Times New Roman"/>
          <w:color w:val="auto"/>
          <w:sz w:val="32"/>
          <w:szCs w:val="32"/>
        </w:rPr>
        <w:t>。</w:t>
      </w:r>
    </w:p>
    <w:p w14:paraId="271521A7">
      <w:pPr>
        <w:pStyle w:val="12"/>
        <w:keepNext w:val="0"/>
        <w:keepLines w:val="0"/>
        <w:widowControl/>
        <w:suppressLineNumbers w:val="0"/>
        <w:spacing w:before="0" w:beforeAutospacing="0" w:after="0" w:afterAutospacing="0" w:line="520" w:lineRule="exact"/>
        <w:ind w:right="0" w:firstLine="640" w:firstLineChars="200"/>
        <w:jc w:val="left"/>
        <w:rPr>
          <w:rFonts w:hint="default" w:ascii="方正楷体_GBK" w:hAnsi="方正楷体_GBK" w:eastAsia="方正楷体_GBK" w:cs="方正楷体_GBK"/>
          <w:b/>
          <w:bCs/>
          <w:color w:val="auto"/>
          <w:kern w:val="0"/>
          <w:sz w:val="32"/>
          <w:szCs w:val="32"/>
          <w:lang w:val="zh-CN" w:bidi="zh-CN"/>
        </w:rPr>
      </w:pPr>
      <w:bookmarkStart w:id="24" w:name="_GoBack"/>
      <w:r>
        <w:rPr>
          <w:rFonts w:hint="default" w:ascii="方正楷体_GBK" w:hAnsi="方正楷体_GBK" w:eastAsia="方正楷体_GBK" w:cs="方正楷体_GBK"/>
          <w:b/>
          <w:bCs/>
          <w:color w:val="auto"/>
          <w:kern w:val="0"/>
          <w:sz w:val="32"/>
          <w:szCs w:val="32"/>
          <w:lang w:val="zh-CN" w:bidi="zh-CN"/>
        </w:rPr>
        <w:t>（二）改进建议</w:t>
      </w:r>
    </w:p>
    <w:bookmarkEnd w:id="24"/>
    <w:p w14:paraId="7D023CB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32"/>
        </w:rPr>
        <w:t>一是</w:t>
      </w:r>
      <w:r>
        <w:rPr>
          <w:rFonts w:hint="default" w:ascii="Times New Roman" w:hAnsi="Times New Roman" w:eastAsia="方正仿宋_GBK" w:cs="Times New Roman"/>
          <w:color w:val="auto"/>
          <w:sz w:val="32"/>
          <w:szCs w:val="32"/>
          <w:lang w:val="en-US" w:eastAsia="zh-CN"/>
        </w:rPr>
        <w:t>强化预算编制的科学性</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进一步提升预算编制的科学性，对项目经费预算的可行性论证提出更高要求。</w:t>
      </w:r>
    </w:p>
    <w:p w14:paraId="76ECB285">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i w:val="0"/>
          <w:iCs w:val="0"/>
          <w:color w:val="auto"/>
          <w:spacing w:val="0"/>
          <w:w w:val="100"/>
          <w:sz w:val="32"/>
          <w:szCs w:val="32"/>
          <w:vertAlign w:val="baseline"/>
        </w:rPr>
      </w:pP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lang w:val="en-US" w:eastAsia="zh-CN"/>
        </w:rPr>
        <w:t>强化预算执行的刚性约束</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对于列入年度预算的项目，明确实施方案和时间节点，确保项目按时完成并取得相应的效果</w:t>
      </w:r>
      <w:r>
        <w:rPr>
          <w:rFonts w:hint="default" w:ascii="Times New Roman" w:hAnsi="Times New Roman" w:eastAsia="方正仿宋_GBK" w:cs="Times New Roman"/>
          <w:color w:val="auto"/>
          <w:sz w:val="32"/>
          <w:szCs w:val="32"/>
        </w:rPr>
        <w:t>。</w:t>
      </w:r>
    </w:p>
    <w:p w14:paraId="31D8975B">
      <w:pPr>
        <w:widowControl/>
        <w:spacing w:line="579" w:lineRule="exact"/>
        <w:jc w:val="both"/>
        <w:rPr>
          <w:rFonts w:hint="default" w:ascii="Times New Roman" w:hAnsi="Times New Roman" w:eastAsia="方正仿宋_GBK" w:cs="Times New Roman"/>
          <w:color w:val="auto"/>
          <w:kern w:val="0"/>
          <w:sz w:val="32"/>
          <w:szCs w:val="32"/>
          <w:lang w:val="zh-CN" w:bidi="zh-CN"/>
        </w:rPr>
      </w:pPr>
      <w:bookmarkStart w:id="22" w:name="_Toc82176936"/>
      <w:bookmarkStart w:id="23" w:name="_Toc28220"/>
    </w:p>
    <w:p w14:paraId="5A0C2B0E">
      <w:pPr>
        <w:widowControl/>
        <w:spacing w:line="579" w:lineRule="exact"/>
        <w:ind w:firstLine="640" w:firstLineChars="200"/>
        <w:jc w:val="both"/>
        <w:rPr>
          <w:rFonts w:hint="default" w:ascii="Times New Roman" w:hAnsi="Times New Roman" w:eastAsia="方正仿宋_GBK" w:cs="Times New Roman"/>
          <w:color w:val="auto"/>
          <w:kern w:val="0"/>
          <w:sz w:val="44"/>
          <w:szCs w:val="44"/>
        </w:rPr>
      </w:pPr>
      <w:r>
        <w:rPr>
          <w:rFonts w:hint="default" w:ascii="Times New Roman" w:hAnsi="Times New Roman" w:eastAsia="方正仿宋_GBK" w:cs="Times New Roman"/>
          <w:color w:val="auto"/>
          <w:kern w:val="0"/>
          <w:sz w:val="32"/>
          <w:szCs w:val="32"/>
          <w:lang w:val="zh-CN" w:bidi="zh-CN"/>
        </w:rPr>
        <w:t>附件：</w:t>
      </w:r>
      <w:bookmarkEnd w:id="22"/>
      <w:bookmarkEnd w:id="23"/>
      <w:r>
        <w:rPr>
          <w:rFonts w:hint="default" w:ascii="Times New Roman" w:hAnsi="Times New Roman" w:eastAsia="方正仿宋_GBK" w:cs="Times New Roman"/>
          <w:color w:val="auto"/>
          <w:sz w:val="32"/>
          <w:szCs w:val="32"/>
          <w:lang w:val="zh-CN" w:bidi="zh-CN"/>
        </w:rPr>
        <w:t>部门整体预算绩效自评价指标打分表</w:t>
      </w:r>
    </w:p>
    <w:p w14:paraId="2A009D09">
      <w:pPr>
        <w:widowControl/>
        <w:spacing w:line="579" w:lineRule="exact"/>
        <w:ind w:firstLine="482"/>
        <w:jc w:val="center"/>
        <w:rPr>
          <w:rFonts w:hint="default" w:ascii="Times New Roman" w:hAnsi="Times New Roman" w:eastAsia="方正仿宋_GBK" w:cs="Times New Roman"/>
          <w:color w:val="auto"/>
          <w:kern w:val="0"/>
          <w:sz w:val="44"/>
          <w:szCs w:val="44"/>
        </w:rPr>
      </w:pPr>
    </w:p>
    <w:p w14:paraId="57699B2A">
      <w:pPr>
        <w:widowControl/>
        <w:spacing w:line="579" w:lineRule="exact"/>
        <w:ind w:firstLine="482"/>
        <w:jc w:val="center"/>
        <w:rPr>
          <w:rFonts w:hint="default" w:ascii="Times New Roman" w:hAnsi="Times New Roman" w:eastAsia="方正仿宋_GBK" w:cs="Times New Roman"/>
          <w:color w:val="auto"/>
          <w:kern w:val="0"/>
          <w:sz w:val="44"/>
          <w:szCs w:val="44"/>
        </w:rPr>
      </w:pPr>
    </w:p>
    <w:p w14:paraId="0899768C">
      <w:pPr>
        <w:spacing w:line="579" w:lineRule="exact"/>
        <w:rPr>
          <w:rFonts w:hint="default" w:ascii="Times New Roman" w:hAnsi="Times New Roman" w:eastAsia="方正仿宋_GBK" w:cs="Times New Roman"/>
          <w:color w:val="auto"/>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588" w:bottom="1701"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简体">
    <w:altName w:val="楷体_GB2312"/>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8CB34">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C8772">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AD0D3">
    <w:pPr>
      <w:pStyle w:val="1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7D2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DF009">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F874">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472913"/>
    <w:rsid w:val="000073B3"/>
    <w:rsid w:val="0002577F"/>
    <w:rsid w:val="00073D75"/>
    <w:rsid w:val="0009152B"/>
    <w:rsid w:val="000A41EB"/>
    <w:rsid w:val="000E0DCB"/>
    <w:rsid w:val="000E0E2D"/>
    <w:rsid w:val="000E4F01"/>
    <w:rsid w:val="000F0C81"/>
    <w:rsid w:val="000F35D5"/>
    <w:rsid w:val="001076F9"/>
    <w:rsid w:val="00114878"/>
    <w:rsid w:val="00131560"/>
    <w:rsid w:val="0013512A"/>
    <w:rsid w:val="00175102"/>
    <w:rsid w:val="00186DB2"/>
    <w:rsid w:val="001A3224"/>
    <w:rsid w:val="001B7019"/>
    <w:rsid w:val="001C32D5"/>
    <w:rsid w:val="001F5315"/>
    <w:rsid w:val="00211EA3"/>
    <w:rsid w:val="0021491B"/>
    <w:rsid w:val="00234591"/>
    <w:rsid w:val="00237D61"/>
    <w:rsid w:val="00251905"/>
    <w:rsid w:val="00292520"/>
    <w:rsid w:val="002B3B57"/>
    <w:rsid w:val="002C4AF4"/>
    <w:rsid w:val="002C4FDE"/>
    <w:rsid w:val="002C7668"/>
    <w:rsid w:val="002D22EC"/>
    <w:rsid w:val="002D37ED"/>
    <w:rsid w:val="002D5D4B"/>
    <w:rsid w:val="002F4338"/>
    <w:rsid w:val="00310CF5"/>
    <w:rsid w:val="00344653"/>
    <w:rsid w:val="00367090"/>
    <w:rsid w:val="00381968"/>
    <w:rsid w:val="00386D58"/>
    <w:rsid w:val="00387ED4"/>
    <w:rsid w:val="003A1CA7"/>
    <w:rsid w:val="003A208F"/>
    <w:rsid w:val="003A3E33"/>
    <w:rsid w:val="003A6C74"/>
    <w:rsid w:val="003B08C4"/>
    <w:rsid w:val="003B5CA5"/>
    <w:rsid w:val="003D0037"/>
    <w:rsid w:val="003F36A9"/>
    <w:rsid w:val="00426ED8"/>
    <w:rsid w:val="00432982"/>
    <w:rsid w:val="00472913"/>
    <w:rsid w:val="00473056"/>
    <w:rsid w:val="00496AC0"/>
    <w:rsid w:val="004B53BF"/>
    <w:rsid w:val="004D0BC6"/>
    <w:rsid w:val="004E3134"/>
    <w:rsid w:val="004E5D66"/>
    <w:rsid w:val="004F6C0B"/>
    <w:rsid w:val="00516B9F"/>
    <w:rsid w:val="00525642"/>
    <w:rsid w:val="0056410C"/>
    <w:rsid w:val="0056612E"/>
    <w:rsid w:val="005C2568"/>
    <w:rsid w:val="005E3326"/>
    <w:rsid w:val="005F01FA"/>
    <w:rsid w:val="00631DA8"/>
    <w:rsid w:val="006355FD"/>
    <w:rsid w:val="006500BE"/>
    <w:rsid w:val="00652013"/>
    <w:rsid w:val="006B3DCD"/>
    <w:rsid w:val="006C306B"/>
    <w:rsid w:val="006C73B3"/>
    <w:rsid w:val="00711611"/>
    <w:rsid w:val="00712699"/>
    <w:rsid w:val="00732B08"/>
    <w:rsid w:val="00735F9D"/>
    <w:rsid w:val="0076089A"/>
    <w:rsid w:val="007629DB"/>
    <w:rsid w:val="007A062D"/>
    <w:rsid w:val="007A333D"/>
    <w:rsid w:val="007A5A34"/>
    <w:rsid w:val="007C409E"/>
    <w:rsid w:val="007D3357"/>
    <w:rsid w:val="007D56E8"/>
    <w:rsid w:val="00812A47"/>
    <w:rsid w:val="00834D2E"/>
    <w:rsid w:val="00865F47"/>
    <w:rsid w:val="00880209"/>
    <w:rsid w:val="00883B3F"/>
    <w:rsid w:val="008C3BE1"/>
    <w:rsid w:val="008E3D08"/>
    <w:rsid w:val="009202EB"/>
    <w:rsid w:val="0092642F"/>
    <w:rsid w:val="00926F8D"/>
    <w:rsid w:val="009356FE"/>
    <w:rsid w:val="00936E67"/>
    <w:rsid w:val="00942D0F"/>
    <w:rsid w:val="00971918"/>
    <w:rsid w:val="00995740"/>
    <w:rsid w:val="009C737E"/>
    <w:rsid w:val="009E0605"/>
    <w:rsid w:val="00A2038D"/>
    <w:rsid w:val="00A24850"/>
    <w:rsid w:val="00A26AED"/>
    <w:rsid w:val="00A44FF2"/>
    <w:rsid w:val="00A56ADD"/>
    <w:rsid w:val="00A64677"/>
    <w:rsid w:val="00A67900"/>
    <w:rsid w:val="00A73862"/>
    <w:rsid w:val="00A80A0D"/>
    <w:rsid w:val="00AA5EC2"/>
    <w:rsid w:val="00AB3510"/>
    <w:rsid w:val="00AF57DA"/>
    <w:rsid w:val="00B1667C"/>
    <w:rsid w:val="00B25BF9"/>
    <w:rsid w:val="00B4409A"/>
    <w:rsid w:val="00B66A0B"/>
    <w:rsid w:val="00B673A2"/>
    <w:rsid w:val="00BA0264"/>
    <w:rsid w:val="00BA2673"/>
    <w:rsid w:val="00BA51A4"/>
    <w:rsid w:val="00BA6F02"/>
    <w:rsid w:val="00BA7222"/>
    <w:rsid w:val="00BA7418"/>
    <w:rsid w:val="00BE7983"/>
    <w:rsid w:val="00C03418"/>
    <w:rsid w:val="00C17641"/>
    <w:rsid w:val="00C25DF1"/>
    <w:rsid w:val="00C517C5"/>
    <w:rsid w:val="00C56A58"/>
    <w:rsid w:val="00C62C66"/>
    <w:rsid w:val="00C666B9"/>
    <w:rsid w:val="00C73B63"/>
    <w:rsid w:val="00CA0AA0"/>
    <w:rsid w:val="00CB5632"/>
    <w:rsid w:val="00CB59B7"/>
    <w:rsid w:val="00CB6CF8"/>
    <w:rsid w:val="00CD5485"/>
    <w:rsid w:val="00CD76D9"/>
    <w:rsid w:val="00CE6A29"/>
    <w:rsid w:val="00CF6C5F"/>
    <w:rsid w:val="00D138D6"/>
    <w:rsid w:val="00D15B29"/>
    <w:rsid w:val="00D162AF"/>
    <w:rsid w:val="00D27440"/>
    <w:rsid w:val="00D30E03"/>
    <w:rsid w:val="00D31D52"/>
    <w:rsid w:val="00D35386"/>
    <w:rsid w:val="00D36102"/>
    <w:rsid w:val="00D5272F"/>
    <w:rsid w:val="00D5424A"/>
    <w:rsid w:val="00D847AA"/>
    <w:rsid w:val="00DC1649"/>
    <w:rsid w:val="00DC217C"/>
    <w:rsid w:val="00DD7B01"/>
    <w:rsid w:val="00DF23D1"/>
    <w:rsid w:val="00E00EFA"/>
    <w:rsid w:val="00E21248"/>
    <w:rsid w:val="00E37F90"/>
    <w:rsid w:val="00E62C6E"/>
    <w:rsid w:val="00E672E7"/>
    <w:rsid w:val="00E86A89"/>
    <w:rsid w:val="00EB1F5E"/>
    <w:rsid w:val="00EC00FF"/>
    <w:rsid w:val="00EE406A"/>
    <w:rsid w:val="00EF29A4"/>
    <w:rsid w:val="00F26D02"/>
    <w:rsid w:val="00F36BD4"/>
    <w:rsid w:val="00F81DBA"/>
    <w:rsid w:val="00F97636"/>
    <w:rsid w:val="00FC0E0D"/>
    <w:rsid w:val="00FF5291"/>
    <w:rsid w:val="015D339A"/>
    <w:rsid w:val="01F54FD8"/>
    <w:rsid w:val="02783976"/>
    <w:rsid w:val="02EA4873"/>
    <w:rsid w:val="03750ED4"/>
    <w:rsid w:val="03D84125"/>
    <w:rsid w:val="04152EB3"/>
    <w:rsid w:val="05695B35"/>
    <w:rsid w:val="060E46C2"/>
    <w:rsid w:val="06647C85"/>
    <w:rsid w:val="06B275A5"/>
    <w:rsid w:val="06F537E7"/>
    <w:rsid w:val="074561FA"/>
    <w:rsid w:val="07C34431"/>
    <w:rsid w:val="08CF1517"/>
    <w:rsid w:val="09036BB8"/>
    <w:rsid w:val="091132FC"/>
    <w:rsid w:val="0ADD081A"/>
    <w:rsid w:val="0CE9066E"/>
    <w:rsid w:val="0DCD0DF9"/>
    <w:rsid w:val="0DF36EA6"/>
    <w:rsid w:val="0E194431"/>
    <w:rsid w:val="0F390621"/>
    <w:rsid w:val="109600A9"/>
    <w:rsid w:val="10D821AF"/>
    <w:rsid w:val="11307EC7"/>
    <w:rsid w:val="119F0464"/>
    <w:rsid w:val="11EE4031"/>
    <w:rsid w:val="11F65D04"/>
    <w:rsid w:val="12F56A68"/>
    <w:rsid w:val="13D256AD"/>
    <w:rsid w:val="15100481"/>
    <w:rsid w:val="181D065D"/>
    <w:rsid w:val="189C50AA"/>
    <w:rsid w:val="1A7D2171"/>
    <w:rsid w:val="1A8254F3"/>
    <w:rsid w:val="1A972A3C"/>
    <w:rsid w:val="1BD565F1"/>
    <w:rsid w:val="1C4270C8"/>
    <w:rsid w:val="1CE303A9"/>
    <w:rsid w:val="1D0C64DC"/>
    <w:rsid w:val="1D356CC6"/>
    <w:rsid w:val="1E7F54E7"/>
    <w:rsid w:val="1ED9219E"/>
    <w:rsid w:val="1F077119"/>
    <w:rsid w:val="1F991DA9"/>
    <w:rsid w:val="1FF160FC"/>
    <w:rsid w:val="1FFF5D9B"/>
    <w:rsid w:val="21133EAA"/>
    <w:rsid w:val="21EE5194"/>
    <w:rsid w:val="24616E60"/>
    <w:rsid w:val="25414148"/>
    <w:rsid w:val="26205A3B"/>
    <w:rsid w:val="26525AD7"/>
    <w:rsid w:val="267D7B94"/>
    <w:rsid w:val="27F97F06"/>
    <w:rsid w:val="2875465C"/>
    <w:rsid w:val="29D63B28"/>
    <w:rsid w:val="2B183AF5"/>
    <w:rsid w:val="2B892F2B"/>
    <w:rsid w:val="2D9D2235"/>
    <w:rsid w:val="2E11668C"/>
    <w:rsid w:val="2E4B57F3"/>
    <w:rsid w:val="2FE204FD"/>
    <w:rsid w:val="302C2534"/>
    <w:rsid w:val="3325148B"/>
    <w:rsid w:val="349A424D"/>
    <w:rsid w:val="35BF6BEA"/>
    <w:rsid w:val="37600D8F"/>
    <w:rsid w:val="380F20AB"/>
    <w:rsid w:val="3AA450A8"/>
    <w:rsid w:val="3ADD25A1"/>
    <w:rsid w:val="3C3C4CF5"/>
    <w:rsid w:val="3C8F6360"/>
    <w:rsid w:val="3CFC7E62"/>
    <w:rsid w:val="3DA43295"/>
    <w:rsid w:val="3E201A70"/>
    <w:rsid w:val="3EE235A5"/>
    <w:rsid w:val="3FC7326B"/>
    <w:rsid w:val="40631C3B"/>
    <w:rsid w:val="41362F31"/>
    <w:rsid w:val="41F665AE"/>
    <w:rsid w:val="42DE6608"/>
    <w:rsid w:val="43315D2E"/>
    <w:rsid w:val="44290050"/>
    <w:rsid w:val="44ED02B7"/>
    <w:rsid w:val="45906B3A"/>
    <w:rsid w:val="45F1305C"/>
    <w:rsid w:val="46A41B08"/>
    <w:rsid w:val="48A14B56"/>
    <w:rsid w:val="4AB00147"/>
    <w:rsid w:val="4C6F66FA"/>
    <w:rsid w:val="4CCA1BFF"/>
    <w:rsid w:val="4CD710B8"/>
    <w:rsid w:val="4CFF2335"/>
    <w:rsid w:val="4D125A14"/>
    <w:rsid w:val="4D5A6BF3"/>
    <w:rsid w:val="4D635241"/>
    <w:rsid w:val="4DEE3723"/>
    <w:rsid w:val="4E1634ED"/>
    <w:rsid w:val="4E22323C"/>
    <w:rsid w:val="4E511008"/>
    <w:rsid w:val="4F2D3543"/>
    <w:rsid w:val="4FA616DF"/>
    <w:rsid w:val="4FB9443F"/>
    <w:rsid w:val="5020148D"/>
    <w:rsid w:val="50600920"/>
    <w:rsid w:val="51D923EB"/>
    <w:rsid w:val="52D36C9A"/>
    <w:rsid w:val="53745413"/>
    <w:rsid w:val="538C740E"/>
    <w:rsid w:val="53A065C9"/>
    <w:rsid w:val="53AE7C15"/>
    <w:rsid w:val="544132B2"/>
    <w:rsid w:val="544F243E"/>
    <w:rsid w:val="549142D4"/>
    <w:rsid w:val="55B662D9"/>
    <w:rsid w:val="56D3069F"/>
    <w:rsid w:val="56D63ED4"/>
    <w:rsid w:val="57C35A63"/>
    <w:rsid w:val="57CC79D8"/>
    <w:rsid w:val="5A427D7C"/>
    <w:rsid w:val="5A560F28"/>
    <w:rsid w:val="5BE72E75"/>
    <w:rsid w:val="5CAC7619"/>
    <w:rsid w:val="5D6F0E7B"/>
    <w:rsid w:val="5E89517E"/>
    <w:rsid w:val="5E8A39BC"/>
    <w:rsid w:val="5EBA5EB3"/>
    <w:rsid w:val="5F610B8F"/>
    <w:rsid w:val="615D4EF9"/>
    <w:rsid w:val="616A5EDC"/>
    <w:rsid w:val="617605EE"/>
    <w:rsid w:val="61DC0C47"/>
    <w:rsid w:val="62031729"/>
    <w:rsid w:val="63852BB1"/>
    <w:rsid w:val="64464B08"/>
    <w:rsid w:val="65C46CD4"/>
    <w:rsid w:val="663E7534"/>
    <w:rsid w:val="68435C26"/>
    <w:rsid w:val="69115248"/>
    <w:rsid w:val="69ED10D8"/>
    <w:rsid w:val="6A5F1B64"/>
    <w:rsid w:val="6A6A0199"/>
    <w:rsid w:val="6AB82FEB"/>
    <w:rsid w:val="6BDC10D8"/>
    <w:rsid w:val="6C8F6511"/>
    <w:rsid w:val="6D2F6D57"/>
    <w:rsid w:val="6D823527"/>
    <w:rsid w:val="6DBC0566"/>
    <w:rsid w:val="6E143542"/>
    <w:rsid w:val="6E2D0260"/>
    <w:rsid w:val="6E551622"/>
    <w:rsid w:val="6EC571B4"/>
    <w:rsid w:val="6EFC7F8C"/>
    <w:rsid w:val="6F773BB9"/>
    <w:rsid w:val="70000DF6"/>
    <w:rsid w:val="707A2A76"/>
    <w:rsid w:val="71172EB8"/>
    <w:rsid w:val="713131B1"/>
    <w:rsid w:val="715104CD"/>
    <w:rsid w:val="71576DDF"/>
    <w:rsid w:val="71A22B83"/>
    <w:rsid w:val="71B303F4"/>
    <w:rsid w:val="72A43FC4"/>
    <w:rsid w:val="72EC46CC"/>
    <w:rsid w:val="73571046"/>
    <w:rsid w:val="73E33B39"/>
    <w:rsid w:val="74B46446"/>
    <w:rsid w:val="74C468F8"/>
    <w:rsid w:val="74C64035"/>
    <w:rsid w:val="7556644F"/>
    <w:rsid w:val="759F1F00"/>
    <w:rsid w:val="75A03584"/>
    <w:rsid w:val="772123E3"/>
    <w:rsid w:val="78567246"/>
    <w:rsid w:val="78A92EF4"/>
    <w:rsid w:val="78CA77BC"/>
    <w:rsid w:val="7934713A"/>
    <w:rsid w:val="797057FE"/>
    <w:rsid w:val="7A1253F6"/>
    <w:rsid w:val="7A466DE9"/>
    <w:rsid w:val="7A594AB6"/>
    <w:rsid w:val="7AB408EE"/>
    <w:rsid w:val="7AED6F3F"/>
    <w:rsid w:val="7C932178"/>
    <w:rsid w:val="7D627B54"/>
    <w:rsid w:val="7E4B220B"/>
    <w:rsid w:val="7F0D16D6"/>
    <w:rsid w:val="7F7D2A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Calibri" w:hAnsi="Calibri" w:eastAsia="宋体" w:cs="Times New Roman"/>
      <w:b/>
      <w:kern w:val="44"/>
      <w:sz w:val="44"/>
      <w:szCs w:val="44"/>
    </w:rPr>
  </w:style>
  <w:style w:type="paragraph" w:styleId="4">
    <w:name w:val="heading 2"/>
    <w:basedOn w:val="1"/>
    <w:next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5">
    <w:name w:val="heading 3"/>
    <w:basedOn w:val="1"/>
    <w:next w:val="1"/>
    <w:link w:val="19"/>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6">
    <w:name w:val="heading 6"/>
    <w:basedOn w:val="1"/>
    <w:next w:val="1"/>
    <w:link w:val="20"/>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99"/>
    <w:pPr>
      <w:outlineLvl w:val="0"/>
    </w:pPr>
    <w:rPr>
      <w:rFonts w:eastAsia="方正小标宋简体" w:cs="Arial"/>
      <w:bCs/>
      <w:sz w:val="40"/>
      <w:szCs w:val="32"/>
    </w:rPr>
  </w:style>
  <w:style w:type="paragraph" w:styleId="7">
    <w:name w:val="caption"/>
    <w:basedOn w:val="1"/>
    <w:next w:val="1"/>
    <w:qFormat/>
    <w:uiPriority w:val="0"/>
    <w:pPr>
      <w:suppressLineNumbers/>
      <w:suppressAutoHyphens/>
      <w:spacing w:before="120" w:after="120"/>
      <w:jc w:val="left"/>
    </w:pPr>
    <w:rPr>
      <w:rFonts w:ascii="Arial Unicode MS" w:hAnsi="Arial Unicode MS" w:eastAsia="Arial Unicode MS" w:cs="Arial Unicode MS"/>
      <w:i/>
      <w:iCs/>
      <w:kern w:val="0"/>
      <w:sz w:val="24"/>
      <w:szCs w:val="24"/>
      <w:lang w:val="zh-CN" w:bidi="zh-CN"/>
    </w:rPr>
  </w:style>
  <w:style w:type="paragraph" w:styleId="8">
    <w:name w:val="Body Text"/>
    <w:basedOn w:val="1"/>
    <w:qFormat/>
    <w:uiPriority w:val="1"/>
    <w:rPr>
      <w:rFonts w:ascii="方正仿宋_GBK" w:hAnsi="方正仿宋_GBK" w:eastAsia="方正仿宋_GBK" w:cs="方正仿宋_GBK"/>
      <w:sz w:val="32"/>
      <w:szCs w:val="32"/>
    </w:rPr>
  </w:style>
  <w:style w:type="paragraph" w:styleId="9">
    <w:name w:val="Balloon Text"/>
    <w:basedOn w:val="1"/>
    <w:link w:val="226"/>
    <w:semiHidden/>
    <w:unhideWhenUsed/>
    <w:qFormat/>
    <w:uiPriority w:val="99"/>
    <w:rPr>
      <w:sz w:val="18"/>
      <w:szCs w:val="18"/>
    </w:rPr>
  </w:style>
  <w:style w:type="paragraph" w:styleId="10">
    <w:name w:val="footer"/>
    <w:basedOn w:val="1"/>
    <w:link w:val="228"/>
    <w:unhideWhenUsed/>
    <w:qFormat/>
    <w:uiPriority w:val="99"/>
    <w:pPr>
      <w:tabs>
        <w:tab w:val="center" w:pos="4153"/>
        <w:tab w:val="right" w:pos="8306"/>
      </w:tabs>
      <w:snapToGrid w:val="0"/>
      <w:jc w:val="left"/>
    </w:pPr>
    <w:rPr>
      <w:sz w:val="18"/>
      <w:szCs w:val="18"/>
    </w:rPr>
  </w:style>
  <w:style w:type="paragraph" w:styleId="11">
    <w:name w:val="header"/>
    <w:basedOn w:val="1"/>
    <w:link w:val="22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5">
    <w:name w:val="Strong"/>
    <w:basedOn w:val="14"/>
    <w:qFormat/>
    <w:uiPriority w:val="22"/>
    <w:rPr>
      <w:b/>
      <w:bCs/>
    </w:rPr>
  </w:style>
  <w:style w:type="character" w:styleId="16">
    <w:name w:val="FollowedHyperlink"/>
    <w:basedOn w:val="14"/>
    <w:semiHidden/>
    <w:unhideWhenUsed/>
    <w:qFormat/>
    <w:uiPriority w:val="99"/>
    <w:rPr>
      <w:color w:val="4C4C4C"/>
      <w:u w:val="none"/>
    </w:rPr>
  </w:style>
  <w:style w:type="character" w:styleId="17">
    <w:name w:val="Hyperlink"/>
    <w:basedOn w:val="14"/>
    <w:semiHidden/>
    <w:unhideWhenUsed/>
    <w:qFormat/>
    <w:uiPriority w:val="99"/>
    <w:rPr>
      <w:color w:val="4C4C4C"/>
      <w:u w:val="none"/>
    </w:rPr>
  </w:style>
  <w:style w:type="character" w:customStyle="1" w:styleId="18">
    <w:name w:val="标题 2 Char"/>
    <w:basedOn w:val="14"/>
    <w:link w:val="4"/>
    <w:qFormat/>
    <w:uiPriority w:val="9"/>
    <w:rPr>
      <w:rFonts w:ascii="宋体" w:hAnsi="宋体" w:eastAsia="宋体" w:cs="宋体"/>
      <w:b/>
      <w:bCs/>
      <w:kern w:val="0"/>
      <w:sz w:val="36"/>
      <w:szCs w:val="36"/>
    </w:rPr>
  </w:style>
  <w:style w:type="character" w:customStyle="1" w:styleId="19">
    <w:name w:val="标题 3 Char"/>
    <w:basedOn w:val="14"/>
    <w:link w:val="5"/>
    <w:qFormat/>
    <w:uiPriority w:val="9"/>
    <w:rPr>
      <w:rFonts w:ascii="宋体" w:hAnsi="宋体" w:eastAsia="宋体" w:cs="宋体"/>
      <w:b/>
      <w:bCs/>
      <w:kern w:val="0"/>
      <w:sz w:val="27"/>
      <w:szCs w:val="27"/>
    </w:rPr>
  </w:style>
  <w:style w:type="character" w:customStyle="1" w:styleId="20">
    <w:name w:val="标题 6 Char"/>
    <w:basedOn w:val="14"/>
    <w:link w:val="6"/>
    <w:qFormat/>
    <w:uiPriority w:val="9"/>
    <w:rPr>
      <w:rFonts w:ascii="宋体" w:hAnsi="宋体" w:eastAsia="宋体" w:cs="宋体"/>
      <w:b/>
      <w:bCs/>
      <w:kern w:val="0"/>
      <w:sz w:val="15"/>
      <w:szCs w:val="15"/>
    </w:rPr>
  </w:style>
  <w:style w:type="paragraph" w:customStyle="1" w:styleId="21">
    <w:name w:val="bdnon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
    <w:name w:val="clea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
    <w:name w:val="mt20"/>
    <w:basedOn w:val="1"/>
    <w:qFormat/>
    <w:uiPriority w:val="0"/>
    <w:pPr>
      <w:widowControl/>
      <w:spacing w:before="300" w:after="100" w:afterAutospacing="1"/>
      <w:jc w:val="left"/>
    </w:pPr>
    <w:rPr>
      <w:rFonts w:ascii="宋体" w:hAnsi="宋体" w:eastAsia="宋体" w:cs="宋体"/>
      <w:kern w:val="0"/>
      <w:sz w:val="24"/>
      <w:szCs w:val="24"/>
    </w:rPr>
  </w:style>
  <w:style w:type="paragraph" w:customStyle="1" w:styleId="24">
    <w:name w:val="mt15"/>
    <w:basedOn w:val="1"/>
    <w:qFormat/>
    <w:uiPriority w:val="0"/>
    <w:pPr>
      <w:widowControl/>
      <w:spacing w:before="225" w:after="100" w:afterAutospacing="1"/>
      <w:jc w:val="left"/>
    </w:pPr>
    <w:rPr>
      <w:rFonts w:ascii="宋体" w:hAnsi="宋体" w:eastAsia="宋体" w:cs="宋体"/>
      <w:kern w:val="0"/>
      <w:sz w:val="24"/>
      <w:szCs w:val="24"/>
    </w:rPr>
  </w:style>
  <w:style w:type="paragraph" w:customStyle="1" w:styleId="25">
    <w:name w:val="mt10"/>
    <w:basedOn w:val="1"/>
    <w:qFormat/>
    <w:uiPriority w:val="0"/>
    <w:pPr>
      <w:widowControl/>
      <w:spacing w:before="150" w:after="100" w:afterAutospacing="1"/>
      <w:jc w:val="left"/>
    </w:pPr>
    <w:rPr>
      <w:rFonts w:ascii="宋体" w:hAnsi="宋体" w:eastAsia="宋体" w:cs="宋体"/>
      <w:kern w:val="0"/>
      <w:sz w:val="24"/>
      <w:szCs w:val="24"/>
    </w:rPr>
  </w:style>
  <w:style w:type="paragraph" w:customStyle="1" w:styleId="26">
    <w:name w:val="ml20"/>
    <w:basedOn w:val="1"/>
    <w:qFormat/>
    <w:uiPriority w:val="0"/>
    <w:pPr>
      <w:widowControl/>
      <w:spacing w:before="100" w:beforeAutospacing="1" w:after="100" w:afterAutospacing="1"/>
      <w:ind w:left="300"/>
      <w:jc w:val="left"/>
    </w:pPr>
    <w:rPr>
      <w:rFonts w:ascii="宋体" w:hAnsi="宋体" w:eastAsia="宋体" w:cs="宋体"/>
      <w:kern w:val="0"/>
      <w:sz w:val="24"/>
      <w:szCs w:val="24"/>
    </w:rPr>
  </w:style>
  <w:style w:type="paragraph" w:customStyle="1" w:styleId="27">
    <w:name w:val="ml8"/>
    <w:basedOn w:val="1"/>
    <w:qFormat/>
    <w:uiPriority w:val="0"/>
    <w:pPr>
      <w:widowControl/>
      <w:spacing w:before="100" w:beforeAutospacing="1" w:after="100" w:afterAutospacing="1"/>
      <w:ind w:left="120"/>
      <w:jc w:val="left"/>
    </w:pPr>
    <w:rPr>
      <w:rFonts w:ascii="宋体" w:hAnsi="宋体" w:eastAsia="宋体" w:cs="宋体"/>
      <w:kern w:val="0"/>
      <w:sz w:val="24"/>
      <w:szCs w:val="24"/>
    </w:rPr>
  </w:style>
  <w:style w:type="paragraph" w:customStyle="1" w:styleId="28">
    <w:name w:val="mtb10"/>
    <w:basedOn w:val="1"/>
    <w:qFormat/>
    <w:uiPriority w:val="0"/>
    <w:pPr>
      <w:widowControl/>
      <w:spacing w:before="150" w:after="150"/>
      <w:jc w:val="left"/>
    </w:pPr>
    <w:rPr>
      <w:rFonts w:ascii="宋体" w:hAnsi="宋体" w:eastAsia="宋体" w:cs="宋体"/>
      <w:kern w:val="0"/>
      <w:sz w:val="24"/>
      <w:szCs w:val="24"/>
    </w:rPr>
  </w:style>
  <w:style w:type="paragraph" w:customStyle="1" w:styleId="29">
    <w:name w:val="top_b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
    <w:name w:val="top"/>
    <w:basedOn w:val="1"/>
    <w:qFormat/>
    <w:uiPriority w:val="0"/>
    <w:pPr>
      <w:widowControl/>
      <w:spacing w:line="450" w:lineRule="atLeast"/>
      <w:jc w:val="left"/>
    </w:pPr>
    <w:rPr>
      <w:rFonts w:ascii="宋体" w:hAnsi="宋体" w:eastAsia="宋体" w:cs="宋体"/>
      <w:kern w:val="0"/>
      <w:sz w:val="24"/>
      <w:szCs w:val="24"/>
    </w:rPr>
  </w:style>
  <w:style w:type="paragraph" w:customStyle="1" w:styleId="31">
    <w:name w:val="页眉1"/>
    <w:basedOn w:val="1"/>
    <w:qFormat/>
    <w:uiPriority w:val="0"/>
    <w:pPr>
      <w:widowControl/>
      <w:spacing w:line="2670" w:lineRule="atLeast"/>
      <w:jc w:val="left"/>
    </w:pPr>
    <w:rPr>
      <w:rFonts w:ascii="宋体" w:hAnsi="宋体" w:eastAsia="宋体" w:cs="宋体"/>
      <w:kern w:val="0"/>
      <w:sz w:val="24"/>
      <w:szCs w:val="24"/>
    </w:rPr>
  </w:style>
  <w:style w:type="paragraph" w:customStyle="1" w:styleId="32">
    <w:name w:val="dropselect_simpleselect"/>
    <w:basedOn w:val="1"/>
    <w:qFormat/>
    <w:uiPriority w:val="0"/>
    <w:pPr>
      <w:widowControl/>
      <w:shd w:val="clear" w:color="auto" w:fill="FFFFFF"/>
      <w:spacing w:before="100" w:beforeAutospacing="1" w:after="100" w:afterAutospacing="1" w:line="540" w:lineRule="atLeast"/>
      <w:ind w:firstLine="150"/>
      <w:jc w:val="left"/>
    </w:pPr>
    <w:rPr>
      <w:rFonts w:ascii="宋体" w:hAnsi="宋体" w:eastAsia="宋体" w:cs="宋体"/>
      <w:kern w:val="0"/>
      <w:sz w:val="24"/>
      <w:szCs w:val="24"/>
    </w:rPr>
  </w:style>
  <w:style w:type="paragraph" w:customStyle="1" w:styleId="33">
    <w:name w:val="search_text"/>
    <w:basedOn w:val="1"/>
    <w:qFormat/>
    <w:uiPriority w:val="0"/>
    <w:pPr>
      <w:widowControl/>
      <w:spacing w:before="100" w:beforeAutospacing="1" w:after="100" w:afterAutospacing="1" w:line="540" w:lineRule="atLeast"/>
      <w:ind w:firstLine="150"/>
      <w:jc w:val="left"/>
    </w:pPr>
    <w:rPr>
      <w:rFonts w:ascii="宋体" w:hAnsi="宋体" w:eastAsia="宋体" w:cs="宋体"/>
      <w:color w:val="333333"/>
      <w:kern w:val="0"/>
      <w:sz w:val="24"/>
      <w:szCs w:val="24"/>
    </w:rPr>
  </w:style>
  <w:style w:type="paragraph" w:customStyle="1" w:styleId="34">
    <w:name w:val="search_sub"/>
    <w:basedOn w:val="1"/>
    <w:qFormat/>
    <w:uiPriority w:val="0"/>
    <w:pPr>
      <w:widowControl/>
      <w:shd w:val="clear" w:color="auto" w:fill="569AD4"/>
      <w:spacing w:before="100" w:beforeAutospacing="1" w:after="100" w:afterAutospacing="1"/>
      <w:jc w:val="left"/>
    </w:pPr>
    <w:rPr>
      <w:rFonts w:ascii="宋体" w:hAnsi="宋体" w:eastAsia="宋体" w:cs="宋体"/>
      <w:color w:val="FFFFFF"/>
      <w:kern w:val="0"/>
      <w:sz w:val="24"/>
      <w:szCs w:val="24"/>
    </w:rPr>
  </w:style>
  <w:style w:type="paragraph" w:customStyle="1" w:styleId="35">
    <w:name w:val="nav"/>
    <w:basedOn w:val="1"/>
    <w:qFormat/>
    <w:uiPriority w:val="0"/>
    <w:pPr>
      <w:widowControl/>
      <w:pBdr>
        <w:top w:val="single" w:color="484848" w:sz="18" w:space="0"/>
      </w:pBdr>
      <w:jc w:val="left"/>
    </w:pPr>
    <w:rPr>
      <w:rFonts w:ascii="宋体" w:hAnsi="宋体" w:eastAsia="宋体" w:cs="宋体"/>
      <w:kern w:val="0"/>
      <w:sz w:val="24"/>
      <w:szCs w:val="24"/>
    </w:rPr>
  </w:style>
  <w:style w:type="paragraph" w:customStyle="1" w:styleId="36">
    <w:name w:val="friend_link_box"/>
    <w:basedOn w:val="1"/>
    <w:qFormat/>
    <w:uiPriority w:val="0"/>
    <w:pPr>
      <w:widowControl/>
      <w:pBdr>
        <w:top w:val="single" w:color="1A5DB1" w:sz="6" w:space="0"/>
      </w:pBdr>
      <w:shd w:val="clear" w:color="auto" w:fill="F8F8F8"/>
      <w:spacing w:before="100" w:beforeAutospacing="1" w:after="100" w:afterAutospacing="1"/>
      <w:jc w:val="left"/>
    </w:pPr>
    <w:rPr>
      <w:rFonts w:ascii="宋体" w:hAnsi="宋体" w:eastAsia="宋体" w:cs="宋体"/>
      <w:kern w:val="0"/>
      <w:sz w:val="24"/>
      <w:szCs w:val="24"/>
    </w:rPr>
  </w:style>
  <w:style w:type="paragraph" w:customStyle="1" w:styleId="37">
    <w:name w:val="friend_link"/>
    <w:basedOn w:val="1"/>
    <w:qFormat/>
    <w:uiPriority w:val="0"/>
    <w:pPr>
      <w:widowControl/>
      <w:spacing w:line="900" w:lineRule="atLeast"/>
      <w:jc w:val="left"/>
    </w:pPr>
    <w:rPr>
      <w:rFonts w:ascii="宋体" w:hAnsi="宋体" w:eastAsia="宋体" w:cs="宋体"/>
      <w:kern w:val="0"/>
      <w:sz w:val="24"/>
      <w:szCs w:val="24"/>
    </w:rPr>
  </w:style>
  <w:style w:type="paragraph" w:customStyle="1" w:styleId="38">
    <w:name w:val="dropselect_simpleselect1"/>
    <w:basedOn w:val="1"/>
    <w:qFormat/>
    <w:uiPriority w:val="0"/>
    <w:pPr>
      <w:widowControl/>
      <w:shd w:val="clear" w:color="auto" w:fill="DEE6F0"/>
      <w:spacing w:before="100" w:beforeAutospacing="1" w:after="100" w:afterAutospacing="1" w:line="525" w:lineRule="atLeast"/>
      <w:ind w:firstLine="150"/>
      <w:jc w:val="left"/>
    </w:pPr>
    <w:rPr>
      <w:rFonts w:ascii="宋体" w:hAnsi="宋体" w:eastAsia="宋体" w:cs="宋体"/>
      <w:kern w:val="0"/>
      <w:sz w:val="24"/>
      <w:szCs w:val="24"/>
    </w:rPr>
  </w:style>
  <w:style w:type="paragraph" w:customStyle="1" w:styleId="39">
    <w:name w:val="hidden"/>
    <w:basedOn w:val="1"/>
    <w:qFormat/>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40">
    <w:name w:val="页脚1"/>
    <w:basedOn w:val="1"/>
    <w:qFormat/>
    <w:uiPriority w:val="0"/>
    <w:pPr>
      <w:widowControl/>
      <w:shd w:val="clear" w:color="auto" w:fill="FFFFFF"/>
      <w:spacing w:before="100" w:beforeAutospacing="1" w:after="100" w:afterAutospacing="1"/>
      <w:jc w:val="center"/>
    </w:pPr>
    <w:rPr>
      <w:rFonts w:ascii="宋体" w:hAnsi="宋体" w:eastAsia="宋体" w:cs="宋体"/>
      <w:kern w:val="0"/>
      <w:sz w:val="24"/>
      <w:szCs w:val="24"/>
    </w:rPr>
  </w:style>
  <w:style w:type="paragraph" w:customStyle="1" w:styleId="41">
    <w:name w:val="foot_info"/>
    <w:basedOn w:val="1"/>
    <w:qFormat/>
    <w:uiPriority w:val="0"/>
    <w:pPr>
      <w:widowControl/>
      <w:jc w:val="left"/>
    </w:pPr>
    <w:rPr>
      <w:rFonts w:ascii="宋体" w:hAnsi="宋体" w:eastAsia="宋体" w:cs="宋体"/>
      <w:kern w:val="0"/>
      <w:sz w:val="24"/>
      <w:szCs w:val="24"/>
    </w:rPr>
  </w:style>
  <w:style w:type="paragraph" w:customStyle="1" w:styleId="42">
    <w:name w:val="tit_ta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
    <w:name w:val="main"/>
    <w:basedOn w:val="1"/>
    <w:qFormat/>
    <w:uiPriority w:val="0"/>
    <w:pPr>
      <w:widowControl/>
      <w:jc w:val="left"/>
    </w:pPr>
    <w:rPr>
      <w:rFonts w:ascii="宋体" w:hAnsi="宋体" w:eastAsia="宋体" w:cs="宋体"/>
      <w:kern w:val="0"/>
      <w:sz w:val="24"/>
      <w:szCs w:val="24"/>
    </w:rPr>
  </w:style>
  <w:style w:type="paragraph" w:customStyle="1" w:styleId="44">
    <w:name w:val="wd_lef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5">
    <w:name w:val="wd_mid"/>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
    <w:name w:val="wd_righ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7">
    <w:name w:val="title"/>
    <w:basedOn w:val="1"/>
    <w:qFormat/>
    <w:uiPriority w:val="0"/>
    <w:pPr>
      <w:widowControl/>
      <w:pBdr>
        <w:top w:val="single" w:color="484848" w:sz="18" w:space="0"/>
      </w:pBdr>
      <w:spacing w:before="100" w:beforeAutospacing="1" w:after="100" w:afterAutospacing="1"/>
      <w:jc w:val="center"/>
    </w:pPr>
    <w:rPr>
      <w:rFonts w:ascii="宋体" w:hAnsi="宋体" w:eastAsia="宋体" w:cs="宋体"/>
      <w:kern w:val="0"/>
      <w:sz w:val="24"/>
      <w:szCs w:val="24"/>
    </w:rPr>
  </w:style>
  <w:style w:type="paragraph" w:customStyle="1" w:styleId="48">
    <w:name w:val="list"/>
    <w:basedOn w:val="1"/>
    <w:qFormat/>
    <w:uiPriority w:val="0"/>
    <w:pPr>
      <w:widowControl/>
      <w:spacing w:before="225" w:after="100" w:afterAutospacing="1"/>
      <w:jc w:val="left"/>
    </w:pPr>
    <w:rPr>
      <w:rFonts w:ascii="宋体" w:hAnsi="宋体" w:eastAsia="宋体" w:cs="宋体"/>
      <w:vanish/>
      <w:kern w:val="0"/>
      <w:sz w:val="24"/>
      <w:szCs w:val="24"/>
    </w:rPr>
  </w:style>
  <w:style w:type="paragraph" w:customStyle="1" w:styleId="49">
    <w:name w:val="ztz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0">
    <w:name w:val="sc_wd26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1">
    <w:name w:val="sc_wd42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2">
    <w:name w:val="wd86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3">
    <w:name w:val="path"/>
    <w:basedOn w:val="1"/>
    <w:qFormat/>
    <w:uiPriority w:val="0"/>
    <w:pPr>
      <w:widowControl/>
      <w:shd w:val="clear" w:color="auto" w:fill="F8F8F8"/>
      <w:spacing w:before="100" w:beforeAutospacing="1" w:after="100" w:afterAutospacing="1" w:line="675" w:lineRule="atLeast"/>
      <w:jc w:val="left"/>
    </w:pPr>
    <w:rPr>
      <w:rFonts w:ascii="宋体" w:hAnsi="宋体" w:eastAsia="宋体" w:cs="宋体"/>
      <w:kern w:val="0"/>
      <w:szCs w:val="21"/>
    </w:rPr>
  </w:style>
  <w:style w:type="paragraph" w:customStyle="1" w:styleId="54">
    <w:name w:val="curpo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
    <w:name w:val="main_list_lef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sc_title"/>
    <w:basedOn w:val="1"/>
    <w:qFormat/>
    <w:uiPriority w:val="0"/>
    <w:pPr>
      <w:widowControl/>
      <w:pBdr>
        <w:top w:val="single" w:color="1A5DB1" w:sz="18" w:space="0"/>
      </w:pBdr>
      <w:shd w:val="clear" w:color="auto" w:fill="F1F5F7"/>
      <w:spacing w:before="100" w:beforeAutospacing="1" w:after="100" w:afterAutospacing="1" w:line="750" w:lineRule="atLeast"/>
      <w:jc w:val="left"/>
    </w:pPr>
    <w:rPr>
      <w:rFonts w:ascii="宋体" w:hAnsi="宋体" w:eastAsia="宋体" w:cs="宋体"/>
      <w:kern w:val="0"/>
      <w:sz w:val="24"/>
      <w:szCs w:val="24"/>
    </w:rPr>
  </w:style>
  <w:style w:type="paragraph" w:customStyle="1" w:styleId="57">
    <w:name w:val="leader"/>
    <w:basedOn w:val="1"/>
    <w:qFormat/>
    <w:uiPriority w:val="0"/>
    <w:pPr>
      <w:widowControl/>
      <w:pBdr>
        <w:top w:val="single" w:color="FFFFFF" w:sz="6" w:space="8"/>
      </w:pBdr>
      <w:shd w:val="clear" w:color="auto" w:fill="F8F8F8"/>
      <w:spacing w:before="100" w:beforeAutospacing="1" w:after="100" w:afterAutospacing="1"/>
      <w:jc w:val="left"/>
    </w:pPr>
    <w:rPr>
      <w:rFonts w:ascii="宋体" w:hAnsi="宋体" w:eastAsia="宋体" w:cs="宋体"/>
      <w:kern w:val="0"/>
      <w:sz w:val="24"/>
      <w:szCs w:val="24"/>
    </w:rPr>
  </w:style>
  <w:style w:type="paragraph" w:customStyle="1" w:styleId="58">
    <w:name w:val="tab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
    <w:name w:val="hdjl_main"/>
    <w:basedOn w:val="1"/>
    <w:qFormat/>
    <w:uiPriority w:val="0"/>
    <w:pPr>
      <w:widowControl/>
      <w:spacing w:before="150" w:after="100" w:afterAutospacing="1"/>
      <w:jc w:val="left"/>
    </w:pPr>
    <w:rPr>
      <w:rFonts w:ascii="宋体" w:hAnsi="宋体" w:eastAsia="宋体" w:cs="宋体"/>
      <w:kern w:val="0"/>
      <w:sz w:val="24"/>
      <w:szCs w:val="24"/>
    </w:rPr>
  </w:style>
  <w:style w:type="paragraph" w:customStyle="1" w:styleId="60">
    <w:name w:val="hdjl_zjdc"/>
    <w:basedOn w:val="1"/>
    <w:qFormat/>
    <w:uiPriority w:val="0"/>
    <w:pPr>
      <w:widowControl/>
      <w:spacing w:before="100" w:beforeAutospacing="1" w:after="300"/>
      <w:jc w:val="left"/>
    </w:pPr>
    <w:rPr>
      <w:rFonts w:ascii="宋体" w:hAnsi="宋体" w:eastAsia="宋体" w:cs="宋体"/>
      <w:kern w:val="0"/>
      <w:sz w:val="24"/>
      <w:szCs w:val="24"/>
    </w:rPr>
  </w:style>
  <w:style w:type="paragraph" w:customStyle="1" w:styleId="61">
    <w:name w:val="hdjl_main_left"/>
    <w:basedOn w:val="1"/>
    <w:qFormat/>
    <w:uiPriority w:val="0"/>
    <w:pPr>
      <w:widowControl/>
      <w:pBdr>
        <w:right w:val="single" w:color="E5E5E5" w:sz="6" w:space="0"/>
      </w:pBdr>
      <w:spacing w:before="100" w:beforeAutospacing="1" w:after="100" w:afterAutospacing="1"/>
      <w:jc w:val="left"/>
    </w:pPr>
    <w:rPr>
      <w:rFonts w:ascii="宋体" w:hAnsi="宋体" w:eastAsia="宋体" w:cs="宋体"/>
      <w:kern w:val="0"/>
      <w:sz w:val="24"/>
      <w:szCs w:val="24"/>
    </w:rPr>
  </w:style>
  <w:style w:type="paragraph" w:customStyle="1" w:styleId="62">
    <w:name w:val="hdjl_main_righ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3">
    <w:name w:val="hd_zjdiv01"/>
    <w:basedOn w:val="1"/>
    <w:qFormat/>
    <w:uiPriority w:val="0"/>
    <w:pPr>
      <w:widowControl/>
      <w:pBdr>
        <w:bottom w:val="dashed" w:color="EBEBEB" w:sz="6" w:space="0"/>
        <w:right w:val="dashed" w:color="EBEBEB" w:sz="6" w:space="0"/>
      </w:pBdr>
      <w:spacing w:before="255" w:after="100" w:afterAutospacing="1"/>
      <w:ind w:left="300"/>
      <w:jc w:val="left"/>
    </w:pPr>
    <w:rPr>
      <w:rFonts w:ascii="宋体" w:hAnsi="宋体" w:eastAsia="宋体" w:cs="宋体"/>
      <w:kern w:val="0"/>
      <w:sz w:val="24"/>
      <w:szCs w:val="24"/>
    </w:rPr>
  </w:style>
  <w:style w:type="paragraph" w:customStyle="1" w:styleId="64">
    <w:name w:val="hd_zjdiv02"/>
    <w:basedOn w:val="1"/>
    <w:qFormat/>
    <w:uiPriority w:val="0"/>
    <w:pPr>
      <w:widowControl/>
      <w:pBdr>
        <w:bottom w:val="dashed" w:color="EBEBEB" w:sz="6" w:space="0"/>
      </w:pBdr>
      <w:spacing w:before="255" w:after="100" w:afterAutospacing="1"/>
      <w:jc w:val="left"/>
    </w:pPr>
    <w:rPr>
      <w:rFonts w:ascii="宋体" w:hAnsi="宋体" w:eastAsia="宋体" w:cs="宋体"/>
      <w:kern w:val="0"/>
      <w:sz w:val="24"/>
      <w:szCs w:val="24"/>
    </w:rPr>
  </w:style>
  <w:style w:type="paragraph" w:customStyle="1" w:styleId="65">
    <w:name w:val="hd_zjdiv03"/>
    <w:basedOn w:val="1"/>
    <w:qFormat/>
    <w:uiPriority w:val="0"/>
    <w:pPr>
      <w:widowControl/>
      <w:pBdr>
        <w:right w:val="dashed" w:color="EBEBEB" w:sz="6" w:space="0"/>
      </w:pBdr>
      <w:spacing w:before="100" w:beforeAutospacing="1" w:after="100" w:afterAutospacing="1"/>
      <w:ind w:left="300"/>
      <w:jc w:val="left"/>
    </w:pPr>
    <w:rPr>
      <w:rFonts w:ascii="宋体" w:hAnsi="宋体" w:eastAsia="宋体" w:cs="宋体"/>
      <w:kern w:val="0"/>
      <w:sz w:val="24"/>
      <w:szCs w:val="24"/>
    </w:rPr>
  </w:style>
  <w:style w:type="paragraph" w:customStyle="1" w:styleId="66">
    <w:name w:val="hd_zjdiv04"/>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7">
    <w:name w:val="main_content"/>
    <w:basedOn w:val="1"/>
    <w:uiPriority w:val="0"/>
    <w:pPr>
      <w:widowControl/>
      <w:pBdr>
        <w:top w:val="single" w:color="1A5DB1" w:sz="18" w:space="26"/>
        <w:left w:val="single" w:color="E5E5E5" w:sz="18" w:space="16"/>
        <w:bottom w:val="single" w:color="E5E5E5" w:sz="18" w:space="26"/>
        <w:right w:val="single" w:color="E5E5E5" w:sz="18" w:space="16"/>
      </w:pBdr>
      <w:spacing w:before="150" w:after="100" w:afterAutospacing="1"/>
      <w:jc w:val="left"/>
    </w:pPr>
    <w:rPr>
      <w:rFonts w:ascii="宋体" w:hAnsi="宋体" w:eastAsia="宋体" w:cs="宋体"/>
      <w:kern w:val="0"/>
      <w:sz w:val="24"/>
      <w:szCs w:val="24"/>
    </w:rPr>
  </w:style>
  <w:style w:type="paragraph" w:customStyle="1" w:styleId="68">
    <w:name w:val="xxgk_top_frame"/>
    <w:basedOn w:val="1"/>
    <w:uiPriority w:val="0"/>
    <w:pPr>
      <w:widowControl/>
      <w:pBdr>
        <w:top w:val="single" w:color="CCCCCC" w:sz="6" w:space="0"/>
        <w:left w:val="single" w:color="CCCCCC" w:sz="6" w:space="0"/>
        <w:bottom w:val="single" w:color="CCCCCC" w:sz="6" w:space="0"/>
        <w:right w:val="single" w:color="CCCCCC" w:sz="6" w:space="0"/>
      </w:pBdr>
      <w:jc w:val="left"/>
    </w:pPr>
    <w:rPr>
      <w:rFonts w:ascii="宋体" w:hAnsi="宋体" w:eastAsia="宋体" w:cs="宋体"/>
      <w:kern w:val="0"/>
      <w:sz w:val="24"/>
      <w:szCs w:val="24"/>
    </w:rPr>
  </w:style>
  <w:style w:type="paragraph" w:customStyle="1" w:styleId="69">
    <w:name w:val="jgld_leader"/>
    <w:basedOn w:val="1"/>
    <w:qFormat/>
    <w:uiPriority w:val="0"/>
    <w:pPr>
      <w:widowControl/>
      <w:pBdr>
        <w:bottom w:val="single" w:color="E5E5E5" w:sz="6" w:space="0"/>
      </w:pBdr>
      <w:shd w:val="clear" w:color="auto" w:fill="F8F8F8"/>
      <w:spacing w:before="300" w:after="300"/>
      <w:jc w:val="left"/>
    </w:pPr>
    <w:rPr>
      <w:rFonts w:ascii="宋体" w:hAnsi="宋体" w:eastAsia="宋体" w:cs="宋体"/>
      <w:kern w:val="0"/>
      <w:sz w:val="24"/>
      <w:szCs w:val="24"/>
    </w:rPr>
  </w:style>
  <w:style w:type="paragraph" w:customStyle="1" w:styleId="70">
    <w:name w:val="leader_grjj"/>
    <w:basedOn w:val="1"/>
    <w:qFormat/>
    <w:uiPriority w:val="0"/>
    <w:pPr>
      <w:widowControl/>
      <w:spacing w:before="300" w:after="300"/>
      <w:jc w:val="left"/>
    </w:pPr>
    <w:rPr>
      <w:rFonts w:ascii="宋体" w:hAnsi="宋体" w:eastAsia="宋体" w:cs="宋体"/>
      <w:kern w:val="0"/>
      <w:sz w:val="24"/>
      <w:szCs w:val="24"/>
    </w:rPr>
  </w:style>
  <w:style w:type="paragraph" w:customStyle="1" w:styleId="71">
    <w:name w:val="page"/>
    <w:basedOn w:val="1"/>
    <w:qFormat/>
    <w:uiPriority w:val="0"/>
    <w:pPr>
      <w:widowControl/>
      <w:spacing w:before="375" w:after="375"/>
      <w:jc w:val="left"/>
    </w:pPr>
    <w:rPr>
      <w:rFonts w:ascii="宋体" w:hAnsi="宋体" w:eastAsia="宋体" w:cs="宋体"/>
      <w:kern w:val="0"/>
      <w:sz w:val="24"/>
      <w:szCs w:val="24"/>
    </w:rPr>
  </w:style>
  <w:style w:type="paragraph" w:customStyle="1" w:styleId="72">
    <w:name w:val="share-icon"/>
    <w:basedOn w:val="1"/>
    <w:uiPriority w:val="0"/>
    <w:pPr>
      <w:widowControl/>
      <w:spacing w:before="100" w:beforeAutospacing="1" w:after="100" w:afterAutospacing="1" w:line="360" w:lineRule="atLeast"/>
      <w:jc w:val="left"/>
    </w:pPr>
    <w:rPr>
      <w:rFonts w:ascii="宋体" w:hAnsi="宋体" w:eastAsia="宋体" w:cs="宋体"/>
      <w:kern w:val="0"/>
      <w:sz w:val="24"/>
      <w:szCs w:val="24"/>
    </w:rPr>
  </w:style>
  <w:style w:type="paragraph" w:customStyle="1" w:styleId="73">
    <w:name w:val="share-box"/>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4">
    <w:name w:val="share-popup"/>
    <w:basedOn w:val="1"/>
    <w:qFormat/>
    <w:uiPriority w:val="0"/>
    <w:pPr>
      <w:widowControl/>
      <w:pBdr>
        <w:top w:val="single" w:color="E9E9E9" w:sz="6" w:space="0"/>
        <w:left w:val="single" w:color="E9E9E9" w:sz="6" w:space="0"/>
        <w:bottom w:val="single" w:color="E9E9E9" w:sz="6" w:space="0"/>
        <w:right w:val="single" w:color="E9E9E9" w:sz="6" w:space="0"/>
      </w:pBdr>
      <w:spacing w:before="100" w:beforeAutospacing="1" w:after="100" w:afterAutospacing="1"/>
      <w:jc w:val="left"/>
    </w:pPr>
    <w:rPr>
      <w:rFonts w:ascii="宋体" w:hAnsi="宋体" w:eastAsia="宋体" w:cs="宋体"/>
      <w:vanish/>
      <w:kern w:val="0"/>
      <w:sz w:val="24"/>
      <w:szCs w:val="24"/>
    </w:rPr>
  </w:style>
  <w:style w:type="paragraph" w:customStyle="1" w:styleId="75">
    <w:name w:val="comm_toplink"/>
    <w:basedOn w:val="1"/>
    <w:qFormat/>
    <w:uiPriority w:val="0"/>
    <w:pPr>
      <w:widowControl/>
      <w:spacing w:before="100" w:beforeAutospacing="1" w:after="100" w:afterAutospacing="1" w:line="450" w:lineRule="atLeast"/>
      <w:jc w:val="left"/>
    </w:pPr>
    <w:rPr>
      <w:rFonts w:ascii="微软雅黑" w:hAnsi="微软雅黑" w:eastAsia="宋体" w:cs="宋体"/>
      <w:color w:val="FFFFFF"/>
      <w:kern w:val="0"/>
      <w:sz w:val="18"/>
      <w:szCs w:val="18"/>
    </w:rPr>
  </w:style>
  <w:style w:type="paragraph" w:customStyle="1" w:styleId="76">
    <w:name w:val="h-login"/>
    <w:basedOn w:val="1"/>
    <w:qFormat/>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77">
    <w:name w:val="login-box"/>
    <w:basedOn w:val="1"/>
    <w:qFormat/>
    <w:uiPriority w:val="0"/>
    <w:pPr>
      <w:widowControl/>
      <w:ind w:left="-4950"/>
      <w:jc w:val="left"/>
    </w:pPr>
    <w:rPr>
      <w:rFonts w:ascii="宋体" w:hAnsi="宋体" w:eastAsia="宋体" w:cs="宋体"/>
      <w:kern w:val="0"/>
      <w:sz w:val="24"/>
      <w:szCs w:val="24"/>
    </w:rPr>
  </w:style>
  <w:style w:type="paragraph" w:customStyle="1" w:styleId="78">
    <w:name w:val="login-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9">
    <w:name w:val="login-b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0">
    <w:name w:val="login-con"/>
    <w:basedOn w:val="1"/>
    <w:qFormat/>
    <w:uiPriority w:val="0"/>
    <w:pPr>
      <w:widowControl/>
      <w:shd w:val="clear" w:color="auto" w:fill="EEEEEE"/>
      <w:spacing w:before="100" w:beforeAutospacing="1" w:after="100" w:afterAutospacing="1"/>
      <w:jc w:val="left"/>
    </w:pPr>
    <w:rPr>
      <w:rFonts w:ascii="宋体" w:hAnsi="宋体" w:eastAsia="宋体" w:cs="宋体"/>
      <w:kern w:val="0"/>
      <w:sz w:val="24"/>
      <w:szCs w:val="24"/>
    </w:rPr>
  </w:style>
  <w:style w:type="paragraph" w:customStyle="1" w:styleId="81">
    <w:name w:val="login-other"/>
    <w:basedOn w:val="1"/>
    <w:qFormat/>
    <w:uiPriority w:val="0"/>
    <w:pPr>
      <w:widowControl/>
      <w:spacing w:before="450" w:after="100" w:afterAutospacing="1"/>
      <w:jc w:val="left"/>
    </w:pPr>
    <w:rPr>
      <w:rFonts w:ascii="宋体" w:hAnsi="宋体" w:eastAsia="宋体" w:cs="宋体"/>
      <w:kern w:val="0"/>
      <w:sz w:val="24"/>
      <w:szCs w:val="24"/>
    </w:rPr>
  </w:style>
  <w:style w:type="paragraph" w:customStyle="1" w:styleId="82">
    <w:name w:val="hj-easyread-smoothtips"/>
    <w:basedOn w:val="1"/>
    <w:qFormat/>
    <w:uiPriority w:val="0"/>
    <w:pPr>
      <w:widowControl/>
      <w:shd w:val="clear" w:color="auto" w:fill="DEDEDE"/>
      <w:spacing w:before="100" w:beforeAutospacing="1" w:after="100" w:afterAutospacing="1"/>
      <w:jc w:val="left"/>
    </w:pPr>
    <w:rPr>
      <w:rFonts w:ascii="宋体" w:hAnsi="宋体" w:eastAsia="宋体" w:cs="宋体"/>
      <w:kern w:val="0"/>
      <w:sz w:val="24"/>
      <w:szCs w:val="24"/>
    </w:rPr>
  </w:style>
  <w:style w:type="paragraph" w:customStyle="1" w:styleId="83">
    <w:name w:val="hj-easyread-container"/>
    <w:basedOn w:val="1"/>
    <w:qFormat/>
    <w:uiPriority w:val="0"/>
    <w:pPr>
      <w:widowControl/>
      <w:spacing w:before="100" w:beforeAutospacing="1" w:after="100" w:afterAutospacing="1"/>
      <w:ind w:left="8700"/>
      <w:jc w:val="left"/>
    </w:pPr>
    <w:rPr>
      <w:rFonts w:ascii="宋体" w:hAnsi="宋体" w:eastAsia="宋体" w:cs="宋体"/>
      <w:kern w:val="0"/>
      <w:sz w:val="24"/>
      <w:szCs w:val="24"/>
    </w:rPr>
  </w:style>
  <w:style w:type="paragraph" w:customStyle="1" w:styleId="84">
    <w:name w:val="log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
    <w:name w:val="searc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
    <w:name w:val="link"/>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
    <w:name w:val="gov_ic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
    <w:name w:val="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
    <w:name w:val="block"/>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
    <w:name w:val="h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
    <w:name w:val="b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
    <w:name w:val="q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
    <w:name w:val="inf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
    <w:name w:val="serv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
    <w:name w:val="pathdiv"/>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
    <w:name w:val="syic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
    <w:name w:val="pi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
    <w:name w:val="lea_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
    <w:name w:val="hdjl_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
    <w:name w:val="hd_wyx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
    <w:name w:val="hdjl_main_ri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
    <w:name w:val="main_con_f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
    <w:name w:val="main_con_z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4">
    <w:name w:val="mian_con_foo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5">
    <w:name w:val="jgld_leader_pi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6">
    <w:name w:val="jdld_leader_righ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7">
    <w:name w:val="n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8">
    <w:name w:val="pageselec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9">
    <w:name w:val="gwds_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0">
    <w:name w:val="smooth-lf"/>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1">
    <w:name w:val="smoot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2">
    <w:name w:val="w98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
    <w:name w:val="smooth-bo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
    <w:name w:val="tipscontrol-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5">
    <w:name w:val="wechat-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
    <w:name w:val="tipssearch-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7">
    <w:name w:val="tipscitys-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8">
    <w:name w:val="returntotop-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
    <w:name w:val="hj-easyread-icon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
    <w:name w:val="trffic"/>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1">
    <w:name w:val="dispos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2">
    <w:name w:val="undispos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3">
    <w:name w:val="li0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4">
    <w:name w:val="li0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5">
    <w:name w:val="t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6">
    <w:name w:val="dat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7">
    <w:name w:val="prev"/>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
    <w:name w:val="work_flo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9">
    <w:name w:val="lett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0">
    <w:name w:val="hd_ldx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1">
    <w:name w:val="hd_zjd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2">
    <w:name w:val="hd_xjc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3">
    <w:name w:val="hdjl_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4">
    <w:name w:val="jdld_leader_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5">
    <w:name w:val="jdld_leader_z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6">
    <w:name w:val="jdld_leader_zw&gt;spa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7">
    <w:name w:val="jdld_leader_zw&gt;div"/>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8">
    <w:name w:val="xjcx_t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9">
    <w:name w:val="xjcx_su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0">
    <w:name w:val="topsystem_inn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1">
    <w:name w:val="midsystem_inn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2">
    <w:name w:val="hj-easyread-sider-btns-item"/>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3">
    <w:name w:val="dropselect_box"/>
    <w:basedOn w:val="14"/>
    <w:qFormat/>
    <w:uiPriority w:val="0"/>
  </w:style>
  <w:style w:type="character" w:customStyle="1" w:styleId="144">
    <w:name w:val="ywxt"/>
    <w:basedOn w:val="14"/>
    <w:qFormat/>
    <w:uiPriority w:val="0"/>
  </w:style>
  <w:style w:type="character" w:customStyle="1" w:styleId="145">
    <w:name w:val="selc"/>
    <w:basedOn w:val="14"/>
    <w:qFormat/>
    <w:uiPriority w:val="0"/>
  </w:style>
  <w:style w:type="character" w:customStyle="1" w:styleId="146">
    <w:name w:val="down"/>
    <w:basedOn w:val="14"/>
    <w:qFormat/>
    <w:uiPriority w:val="0"/>
  </w:style>
  <w:style w:type="character" w:customStyle="1" w:styleId="147">
    <w:name w:val="revert"/>
    <w:basedOn w:val="14"/>
    <w:qFormat/>
    <w:uiPriority w:val="0"/>
  </w:style>
  <w:style w:type="character" w:customStyle="1" w:styleId="148">
    <w:name w:val="noproc"/>
    <w:basedOn w:val="14"/>
    <w:qFormat/>
    <w:uiPriority w:val="0"/>
  </w:style>
  <w:style w:type="character" w:customStyle="1" w:styleId="149">
    <w:name w:val="hj-easyread-speakerprocesser-position-action-icon"/>
    <w:basedOn w:val="14"/>
    <w:qFormat/>
    <w:uiPriority w:val="0"/>
  </w:style>
  <w:style w:type="paragraph" w:customStyle="1" w:styleId="150">
    <w:name w:val="logo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1">
    <w:name w:val="search1"/>
    <w:basedOn w:val="1"/>
    <w:qFormat/>
    <w:uiPriority w:val="0"/>
    <w:pPr>
      <w:widowControl/>
      <w:pBdr>
        <w:top w:val="single" w:color="569AD4" w:sz="12" w:space="0"/>
        <w:left w:val="single" w:color="569AD4" w:sz="12" w:space="0"/>
        <w:bottom w:val="single" w:color="569AD4" w:sz="12" w:space="0"/>
        <w:right w:val="single" w:color="569AD4" w:sz="12" w:space="0"/>
      </w:pBdr>
      <w:spacing w:before="1080" w:after="100" w:afterAutospacing="1"/>
      <w:jc w:val="left"/>
    </w:pPr>
    <w:rPr>
      <w:rFonts w:ascii="宋体" w:hAnsi="宋体" w:eastAsia="宋体" w:cs="宋体"/>
      <w:kern w:val="0"/>
      <w:sz w:val="24"/>
      <w:szCs w:val="24"/>
    </w:rPr>
  </w:style>
  <w:style w:type="character" w:customStyle="1" w:styleId="152">
    <w:name w:val="dropselect_box1"/>
    <w:basedOn w:val="14"/>
    <w:qFormat/>
    <w:uiPriority w:val="0"/>
  </w:style>
  <w:style w:type="paragraph" w:customStyle="1" w:styleId="153">
    <w:name w:val="link1"/>
    <w:basedOn w:val="1"/>
    <w:qFormat/>
    <w:uiPriority w:val="0"/>
    <w:pPr>
      <w:widowControl/>
      <w:spacing w:before="100" w:beforeAutospacing="1" w:after="100" w:afterAutospacing="1"/>
      <w:ind w:right="120"/>
      <w:jc w:val="left"/>
    </w:pPr>
    <w:rPr>
      <w:rFonts w:ascii="宋体" w:hAnsi="宋体" w:eastAsia="宋体" w:cs="宋体"/>
      <w:color w:val="FFFFFF"/>
      <w:kern w:val="0"/>
      <w:sz w:val="24"/>
      <w:szCs w:val="24"/>
    </w:rPr>
  </w:style>
  <w:style w:type="paragraph" w:customStyle="1" w:styleId="154">
    <w:name w:val="link2"/>
    <w:basedOn w:val="1"/>
    <w:qFormat/>
    <w:uiPriority w:val="0"/>
    <w:pPr>
      <w:widowControl/>
      <w:spacing w:before="100" w:beforeAutospacing="1" w:after="100" w:afterAutospacing="1"/>
      <w:ind w:right="120"/>
      <w:jc w:val="left"/>
    </w:pPr>
    <w:rPr>
      <w:rFonts w:ascii="宋体" w:hAnsi="宋体" w:eastAsia="宋体" w:cs="宋体"/>
      <w:color w:val="FFFFFF"/>
      <w:kern w:val="0"/>
      <w:sz w:val="24"/>
      <w:szCs w:val="24"/>
      <w:u w:val="single"/>
    </w:rPr>
  </w:style>
  <w:style w:type="character" w:customStyle="1" w:styleId="155">
    <w:name w:val="dropselect_box2"/>
    <w:basedOn w:val="14"/>
    <w:qFormat/>
    <w:uiPriority w:val="0"/>
  </w:style>
  <w:style w:type="paragraph" w:customStyle="1" w:styleId="156">
    <w:name w:val="gov_ico1"/>
    <w:basedOn w:val="1"/>
    <w:qFormat/>
    <w:uiPriority w:val="0"/>
    <w:pPr>
      <w:widowControl/>
      <w:pBdr>
        <w:left w:val="single" w:color="D1D1D1" w:sz="6" w:space="26"/>
      </w:pBdr>
      <w:spacing w:before="480" w:after="100" w:afterAutospacing="1" w:line="480" w:lineRule="atLeast"/>
      <w:ind w:right="450"/>
      <w:jc w:val="left"/>
    </w:pPr>
    <w:rPr>
      <w:rFonts w:ascii="宋体" w:hAnsi="宋体" w:eastAsia="宋体" w:cs="宋体"/>
      <w:color w:val="4C4C4C"/>
      <w:kern w:val="0"/>
      <w:szCs w:val="21"/>
    </w:rPr>
  </w:style>
  <w:style w:type="paragraph" w:customStyle="1" w:styleId="157">
    <w:name w:val="trffic1"/>
    <w:basedOn w:val="1"/>
    <w:qFormat/>
    <w:uiPriority w:val="0"/>
    <w:pPr>
      <w:widowControl/>
      <w:pBdr>
        <w:left w:val="single" w:color="D1D1D1" w:sz="6" w:space="26"/>
      </w:pBdr>
      <w:shd w:val="clear" w:color="auto" w:fill="1A5DB1"/>
      <w:spacing w:before="480" w:after="100" w:afterAutospacing="1" w:line="300" w:lineRule="atLeast"/>
      <w:ind w:left="150"/>
      <w:jc w:val="left"/>
    </w:pPr>
    <w:rPr>
      <w:rFonts w:ascii="宋体" w:hAnsi="宋体" w:eastAsia="宋体" w:cs="宋体"/>
      <w:color w:val="FFFFFF"/>
      <w:kern w:val="0"/>
      <w:sz w:val="18"/>
      <w:szCs w:val="18"/>
    </w:rPr>
  </w:style>
  <w:style w:type="paragraph" w:customStyle="1" w:styleId="158">
    <w:name w:val="bdnone1"/>
    <w:basedOn w:val="1"/>
    <w:qFormat/>
    <w:uiPriority w:val="0"/>
    <w:pPr>
      <w:widowControl/>
      <w:spacing w:before="480" w:after="100" w:afterAutospacing="1" w:line="480" w:lineRule="atLeast"/>
      <w:jc w:val="left"/>
    </w:pPr>
    <w:rPr>
      <w:rFonts w:ascii="宋体" w:hAnsi="宋体" w:eastAsia="宋体" w:cs="宋体"/>
      <w:color w:val="4C4C4C"/>
      <w:kern w:val="0"/>
      <w:szCs w:val="21"/>
    </w:rPr>
  </w:style>
  <w:style w:type="paragraph" w:customStyle="1" w:styleId="159">
    <w:name w:val="more1"/>
    <w:basedOn w:val="1"/>
    <w:qFormat/>
    <w:uiPriority w:val="0"/>
    <w:pPr>
      <w:widowControl/>
      <w:spacing w:before="100" w:beforeAutospacing="1" w:after="100" w:afterAutospacing="1" w:line="600" w:lineRule="atLeast"/>
      <w:jc w:val="left"/>
    </w:pPr>
    <w:rPr>
      <w:rFonts w:ascii="宋体" w:hAnsi="宋体" w:eastAsia="宋体" w:cs="宋体"/>
      <w:vanish/>
      <w:color w:val="484848"/>
      <w:kern w:val="0"/>
      <w:sz w:val="24"/>
      <w:szCs w:val="24"/>
    </w:rPr>
  </w:style>
  <w:style w:type="paragraph" w:customStyle="1" w:styleId="160">
    <w:name w:val="more2"/>
    <w:basedOn w:val="1"/>
    <w:qFormat/>
    <w:uiPriority w:val="0"/>
    <w:pPr>
      <w:widowControl/>
      <w:spacing w:before="100" w:beforeAutospacing="1" w:after="100" w:afterAutospacing="1" w:line="600" w:lineRule="atLeast"/>
      <w:jc w:val="left"/>
    </w:pPr>
    <w:rPr>
      <w:rFonts w:ascii="宋体" w:hAnsi="宋体" w:eastAsia="宋体" w:cs="宋体"/>
      <w:vanish/>
      <w:color w:val="3479BB"/>
      <w:kern w:val="0"/>
      <w:sz w:val="24"/>
      <w:szCs w:val="24"/>
    </w:rPr>
  </w:style>
  <w:style w:type="paragraph" w:customStyle="1" w:styleId="161">
    <w:name w:val="block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2">
    <w:name w:val="date1"/>
    <w:basedOn w:val="1"/>
    <w:qFormat/>
    <w:uiPriority w:val="0"/>
    <w:pPr>
      <w:widowControl/>
      <w:spacing w:before="100" w:beforeAutospacing="1" w:after="100" w:afterAutospacing="1"/>
      <w:jc w:val="left"/>
    </w:pPr>
    <w:rPr>
      <w:rFonts w:ascii="宋体" w:hAnsi="宋体" w:eastAsia="宋体" w:cs="宋体"/>
      <w:color w:val="BFC0C0"/>
      <w:kern w:val="0"/>
      <w:sz w:val="18"/>
      <w:szCs w:val="18"/>
    </w:rPr>
  </w:style>
  <w:style w:type="paragraph" w:customStyle="1" w:styleId="163">
    <w:name w:val="hd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bd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5">
    <w:name w:val="prev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6">
    <w:name w:val="next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7">
    <w:name w:val="bd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8">
    <w:name w:val="qd1"/>
    <w:basedOn w:val="1"/>
    <w:qFormat/>
    <w:uiPriority w:val="0"/>
    <w:pPr>
      <w:widowControl/>
      <w:pBdr>
        <w:top w:val="single" w:color="D1D1D1" w:sz="6" w:space="2"/>
        <w:left w:val="single" w:color="D1D1D1" w:sz="6" w:space="8"/>
        <w:bottom w:val="single" w:color="D1D1D1" w:sz="6" w:space="2"/>
        <w:right w:val="single" w:color="D1D1D1" w:sz="6" w:space="0"/>
      </w:pBdr>
      <w:spacing w:before="150" w:after="100" w:afterAutospacing="1"/>
      <w:jc w:val="left"/>
    </w:pPr>
    <w:rPr>
      <w:rFonts w:ascii="宋体" w:hAnsi="宋体" w:eastAsia="宋体" w:cs="宋体"/>
      <w:kern w:val="0"/>
      <w:sz w:val="24"/>
      <w:szCs w:val="24"/>
    </w:rPr>
  </w:style>
  <w:style w:type="paragraph" w:customStyle="1" w:styleId="169">
    <w:name w:val="info1"/>
    <w:basedOn w:val="1"/>
    <w:qFormat/>
    <w:uiPriority w:val="0"/>
    <w:pPr>
      <w:widowControl/>
      <w:pBdr>
        <w:bottom w:val="dashed" w:color="E3E3E3" w:sz="6" w:space="8"/>
      </w:pBdr>
      <w:spacing w:before="100" w:beforeAutospacing="1" w:after="100" w:afterAutospacing="1"/>
      <w:jc w:val="left"/>
    </w:pPr>
    <w:rPr>
      <w:rFonts w:ascii="宋体" w:hAnsi="宋体" w:eastAsia="宋体" w:cs="宋体"/>
      <w:kern w:val="0"/>
      <w:sz w:val="24"/>
      <w:szCs w:val="24"/>
    </w:rPr>
  </w:style>
  <w:style w:type="paragraph" w:customStyle="1" w:styleId="170">
    <w:name w:val="work_flow1"/>
    <w:basedOn w:val="1"/>
    <w:qFormat/>
    <w:uiPriority w:val="0"/>
    <w:pPr>
      <w:widowControl/>
      <w:pBdr>
        <w:top w:val="single" w:color="484848" w:sz="18" w:space="0"/>
        <w:bottom w:val="single" w:color="484848" w:sz="6" w:space="0"/>
      </w:pBdr>
      <w:shd w:val="clear" w:color="auto" w:fill="F0F0F0"/>
      <w:spacing w:before="180" w:after="180" w:line="525" w:lineRule="atLeast"/>
      <w:jc w:val="left"/>
    </w:pPr>
    <w:rPr>
      <w:rFonts w:ascii="宋体" w:hAnsi="宋体" w:eastAsia="宋体" w:cs="宋体"/>
      <w:vanish/>
      <w:color w:val="1A5DB1"/>
      <w:kern w:val="0"/>
      <w:sz w:val="24"/>
      <w:szCs w:val="24"/>
    </w:rPr>
  </w:style>
  <w:style w:type="paragraph" w:customStyle="1" w:styleId="171">
    <w:name w:val="serve1"/>
    <w:basedOn w:val="1"/>
    <w:qFormat/>
    <w:uiPriority w:val="0"/>
    <w:pPr>
      <w:widowControl/>
      <w:spacing w:before="300" w:after="100" w:afterAutospacing="1"/>
      <w:jc w:val="left"/>
    </w:pPr>
    <w:rPr>
      <w:rFonts w:ascii="宋体" w:hAnsi="宋体" w:eastAsia="宋体" w:cs="宋体"/>
      <w:kern w:val="0"/>
      <w:sz w:val="24"/>
      <w:szCs w:val="24"/>
    </w:rPr>
  </w:style>
  <w:style w:type="character" w:customStyle="1" w:styleId="172">
    <w:name w:val="ywxt1"/>
    <w:basedOn w:val="14"/>
    <w:qFormat/>
    <w:uiPriority w:val="0"/>
  </w:style>
  <w:style w:type="character" w:customStyle="1" w:styleId="173">
    <w:name w:val="selc1"/>
    <w:basedOn w:val="14"/>
    <w:qFormat/>
    <w:uiPriority w:val="0"/>
  </w:style>
  <w:style w:type="character" w:customStyle="1" w:styleId="174">
    <w:name w:val="down1"/>
    <w:basedOn w:val="14"/>
    <w:qFormat/>
    <w:uiPriority w:val="0"/>
  </w:style>
  <w:style w:type="character" w:customStyle="1" w:styleId="175">
    <w:name w:val="revert1"/>
    <w:basedOn w:val="14"/>
    <w:qFormat/>
    <w:uiPriority w:val="0"/>
    <w:rPr>
      <w:color w:val="FFFFFF"/>
      <w:shd w:val="clear" w:color="auto" w:fill="41AB8C"/>
    </w:rPr>
  </w:style>
  <w:style w:type="character" w:customStyle="1" w:styleId="176">
    <w:name w:val="noproc1"/>
    <w:basedOn w:val="14"/>
    <w:qFormat/>
    <w:uiPriority w:val="0"/>
    <w:rPr>
      <w:color w:val="FFFFFF"/>
      <w:shd w:val="clear" w:color="auto" w:fill="A8B2AF"/>
    </w:rPr>
  </w:style>
  <w:style w:type="paragraph" w:customStyle="1" w:styleId="177">
    <w:name w:val="letter1"/>
    <w:basedOn w:val="1"/>
    <w:qFormat/>
    <w:uiPriority w:val="0"/>
    <w:pPr>
      <w:widowControl/>
      <w:shd w:val="clear" w:color="auto" w:fill="DEE6F0"/>
      <w:spacing w:before="285" w:after="100" w:afterAutospacing="1" w:line="540" w:lineRule="atLeast"/>
      <w:jc w:val="center"/>
    </w:pPr>
    <w:rPr>
      <w:rFonts w:ascii="宋体" w:hAnsi="宋体" w:eastAsia="宋体" w:cs="宋体"/>
      <w:kern w:val="0"/>
      <w:szCs w:val="21"/>
    </w:rPr>
  </w:style>
  <w:style w:type="paragraph" w:customStyle="1" w:styleId="178">
    <w:name w:val="pathdiv1"/>
    <w:basedOn w:val="1"/>
    <w:qFormat/>
    <w:uiPriority w:val="0"/>
    <w:pPr>
      <w:widowControl/>
      <w:spacing w:before="100" w:beforeAutospacing="1" w:after="100" w:afterAutospacing="1"/>
      <w:jc w:val="left"/>
    </w:pPr>
    <w:rPr>
      <w:rFonts w:ascii="宋体" w:hAnsi="宋体" w:eastAsia="宋体" w:cs="宋体"/>
      <w:kern w:val="0"/>
      <w:szCs w:val="21"/>
    </w:rPr>
  </w:style>
  <w:style w:type="paragraph" w:customStyle="1" w:styleId="179">
    <w:name w:val="syico1"/>
    <w:basedOn w:val="1"/>
    <w:qFormat/>
    <w:uiPriority w:val="0"/>
    <w:pPr>
      <w:widowControl/>
      <w:spacing w:before="100" w:beforeAutospacing="1" w:after="100" w:afterAutospacing="1"/>
      <w:ind w:left="300"/>
      <w:jc w:val="left"/>
    </w:pPr>
    <w:rPr>
      <w:rFonts w:ascii="宋体" w:hAnsi="宋体" w:eastAsia="宋体" w:cs="宋体"/>
      <w:kern w:val="0"/>
      <w:sz w:val="24"/>
      <w:szCs w:val="24"/>
    </w:rPr>
  </w:style>
  <w:style w:type="paragraph" w:customStyle="1" w:styleId="180">
    <w:name w:val="pic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1">
    <w:name w:val="info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2">
    <w:name w:val="lea_more1"/>
    <w:basedOn w:val="1"/>
    <w:qFormat/>
    <w:uiPriority w:val="0"/>
    <w:pPr>
      <w:widowControl/>
      <w:shd w:val="clear" w:color="auto" w:fill="EAEAEA"/>
      <w:spacing w:before="225" w:after="100" w:afterAutospacing="1" w:line="525" w:lineRule="atLeast"/>
      <w:jc w:val="center"/>
    </w:pPr>
    <w:rPr>
      <w:rFonts w:ascii="宋体" w:hAnsi="宋体" w:eastAsia="宋体" w:cs="宋体"/>
      <w:kern w:val="0"/>
      <w:szCs w:val="21"/>
    </w:rPr>
  </w:style>
  <w:style w:type="paragraph" w:customStyle="1" w:styleId="183">
    <w:name w:val="dispose1"/>
    <w:basedOn w:val="1"/>
    <w:qFormat/>
    <w:uiPriority w:val="0"/>
    <w:pPr>
      <w:widowControl/>
      <w:spacing w:before="100" w:beforeAutospacing="1" w:after="100" w:afterAutospacing="1"/>
      <w:jc w:val="left"/>
    </w:pPr>
    <w:rPr>
      <w:rFonts w:ascii="宋体" w:hAnsi="宋体" w:eastAsia="宋体" w:cs="宋体"/>
      <w:color w:val="999999"/>
      <w:kern w:val="0"/>
      <w:sz w:val="24"/>
      <w:szCs w:val="24"/>
    </w:rPr>
  </w:style>
  <w:style w:type="paragraph" w:customStyle="1" w:styleId="184">
    <w:name w:val="undispose1"/>
    <w:basedOn w:val="1"/>
    <w:qFormat/>
    <w:uiPriority w:val="0"/>
    <w:pPr>
      <w:widowControl/>
      <w:spacing w:before="100" w:beforeAutospacing="1" w:after="100" w:afterAutospacing="1"/>
      <w:jc w:val="left"/>
    </w:pPr>
    <w:rPr>
      <w:rFonts w:ascii="宋体" w:hAnsi="宋体" w:eastAsia="宋体" w:cs="宋体"/>
      <w:color w:val="008567"/>
      <w:kern w:val="0"/>
      <w:sz w:val="24"/>
      <w:szCs w:val="24"/>
    </w:rPr>
  </w:style>
  <w:style w:type="paragraph" w:customStyle="1" w:styleId="185">
    <w:name w:val="hdjl_tit1"/>
    <w:basedOn w:val="1"/>
    <w:qFormat/>
    <w:uiPriority w:val="0"/>
    <w:pPr>
      <w:widowControl/>
      <w:pBdr>
        <w:bottom w:val="single" w:color="2E91D4" w:sz="12" w:space="0"/>
      </w:pBdr>
      <w:spacing w:before="100" w:beforeAutospacing="1" w:after="100" w:afterAutospacing="1"/>
      <w:jc w:val="left"/>
    </w:pPr>
    <w:rPr>
      <w:rFonts w:ascii="宋体" w:hAnsi="宋体" w:eastAsia="宋体" w:cs="宋体"/>
      <w:kern w:val="0"/>
      <w:sz w:val="24"/>
      <w:szCs w:val="24"/>
    </w:rPr>
  </w:style>
  <w:style w:type="paragraph" w:customStyle="1" w:styleId="186">
    <w:name w:val="hd_ldxx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7">
    <w:name w:val="hd_zjdc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8">
    <w:name w:val="hd_xjcx1"/>
    <w:basedOn w:val="1"/>
    <w:qFormat/>
    <w:uiPriority w:val="0"/>
    <w:pPr>
      <w:widowControl/>
      <w:spacing w:before="225" w:after="100" w:afterAutospacing="1"/>
      <w:jc w:val="left"/>
    </w:pPr>
    <w:rPr>
      <w:rFonts w:ascii="宋体" w:hAnsi="宋体" w:eastAsia="宋体" w:cs="宋体"/>
      <w:kern w:val="0"/>
      <w:sz w:val="24"/>
      <w:szCs w:val="24"/>
    </w:rPr>
  </w:style>
  <w:style w:type="paragraph" w:customStyle="1" w:styleId="189">
    <w:name w:val="xjcx_text1"/>
    <w:basedOn w:val="1"/>
    <w:qFormat/>
    <w:uiPriority w:val="0"/>
    <w:pPr>
      <w:widowControl/>
      <w:pBdr>
        <w:top w:val="single" w:color="EBEBEB" w:sz="6" w:space="0"/>
        <w:left w:val="single" w:color="EBEBEB" w:sz="6" w:space="0"/>
        <w:bottom w:val="single" w:color="EBEBEB" w:sz="6" w:space="0"/>
        <w:right w:val="single" w:color="EBEBEB" w:sz="6" w:space="0"/>
      </w:pBdr>
      <w:spacing w:before="100" w:beforeAutospacing="1" w:after="100" w:afterAutospacing="1" w:line="570" w:lineRule="atLeast"/>
      <w:ind w:firstLine="195"/>
      <w:jc w:val="left"/>
    </w:pPr>
    <w:rPr>
      <w:rFonts w:ascii="宋体" w:hAnsi="宋体" w:eastAsia="宋体" w:cs="宋体"/>
      <w:color w:val="999999"/>
      <w:kern w:val="0"/>
      <w:szCs w:val="21"/>
    </w:rPr>
  </w:style>
  <w:style w:type="paragraph" w:customStyle="1" w:styleId="190">
    <w:name w:val="xjcx_sub1"/>
    <w:basedOn w:val="1"/>
    <w:qFormat/>
    <w:uiPriority w:val="0"/>
    <w:pPr>
      <w:widowControl/>
      <w:shd w:val="clear" w:color="auto" w:fill="2E91D4"/>
      <w:spacing w:before="100" w:beforeAutospacing="1" w:after="100" w:afterAutospacing="1"/>
      <w:jc w:val="left"/>
    </w:pPr>
    <w:rPr>
      <w:rFonts w:ascii="宋体" w:hAnsi="宋体" w:eastAsia="宋体" w:cs="宋体"/>
      <w:color w:val="FFFFFF"/>
      <w:kern w:val="0"/>
      <w:sz w:val="24"/>
      <w:szCs w:val="24"/>
    </w:rPr>
  </w:style>
  <w:style w:type="paragraph" w:customStyle="1" w:styleId="191">
    <w:name w:val="hd_wyxx1"/>
    <w:basedOn w:val="1"/>
    <w:qFormat/>
    <w:uiPriority w:val="0"/>
    <w:pPr>
      <w:widowControl/>
      <w:spacing w:before="100" w:beforeAutospacing="1" w:after="100" w:afterAutospacing="1" w:line="750" w:lineRule="atLeast"/>
      <w:jc w:val="left"/>
    </w:pPr>
    <w:rPr>
      <w:rFonts w:ascii="宋体" w:hAnsi="宋体" w:eastAsia="宋体" w:cs="宋体"/>
      <w:color w:val="FFFFFF"/>
      <w:kern w:val="0"/>
      <w:sz w:val="26"/>
      <w:szCs w:val="26"/>
    </w:rPr>
  </w:style>
  <w:style w:type="paragraph" w:customStyle="1" w:styleId="192">
    <w:name w:val="hdjl_main_ritit1"/>
    <w:basedOn w:val="1"/>
    <w:qFormat/>
    <w:uiPriority w:val="0"/>
    <w:pPr>
      <w:widowControl/>
      <w:shd w:val="clear" w:color="auto" w:fill="F1F5F9"/>
      <w:spacing w:before="100" w:beforeAutospacing="1" w:after="100" w:afterAutospacing="1" w:line="750" w:lineRule="atLeast"/>
      <w:jc w:val="left"/>
    </w:pPr>
    <w:rPr>
      <w:rFonts w:ascii="宋体" w:hAnsi="宋体" w:eastAsia="宋体" w:cs="宋体"/>
      <w:kern w:val="0"/>
      <w:sz w:val="24"/>
      <w:szCs w:val="24"/>
    </w:rPr>
  </w:style>
  <w:style w:type="paragraph" w:customStyle="1" w:styleId="193">
    <w:name w:val="hdjl_more1"/>
    <w:basedOn w:val="1"/>
    <w:qFormat/>
    <w:uiPriority w:val="0"/>
    <w:pPr>
      <w:widowControl/>
      <w:spacing w:before="100" w:beforeAutospacing="1" w:after="100" w:afterAutospacing="1"/>
      <w:ind w:right="255"/>
      <w:jc w:val="left"/>
    </w:pPr>
    <w:rPr>
      <w:rFonts w:ascii="宋体" w:hAnsi="宋体" w:eastAsia="宋体" w:cs="宋体"/>
      <w:color w:val="AAAAAA"/>
      <w:kern w:val="0"/>
      <w:sz w:val="18"/>
      <w:szCs w:val="18"/>
    </w:rPr>
  </w:style>
  <w:style w:type="paragraph" w:customStyle="1" w:styleId="194">
    <w:name w:val="main_con_ftit1"/>
    <w:basedOn w:val="1"/>
    <w:qFormat/>
    <w:uiPriority w:val="0"/>
    <w:pPr>
      <w:widowControl/>
      <w:shd w:val="clear" w:color="auto" w:fill="F8F8F8"/>
      <w:spacing w:before="100" w:beforeAutospacing="1" w:after="100" w:afterAutospacing="1" w:line="540" w:lineRule="atLeast"/>
      <w:jc w:val="left"/>
    </w:pPr>
    <w:rPr>
      <w:rFonts w:ascii="宋体" w:hAnsi="宋体" w:eastAsia="宋体" w:cs="宋体"/>
      <w:kern w:val="0"/>
      <w:sz w:val="24"/>
      <w:szCs w:val="24"/>
    </w:rPr>
  </w:style>
  <w:style w:type="paragraph" w:customStyle="1" w:styleId="195">
    <w:name w:val="main_con_zw1"/>
    <w:basedOn w:val="1"/>
    <w:qFormat/>
    <w:uiPriority w:val="0"/>
    <w:pPr>
      <w:widowControl/>
      <w:spacing w:before="600" w:after="100" w:afterAutospacing="1"/>
      <w:jc w:val="left"/>
    </w:pPr>
    <w:rPr>
      <w:rFonts w:ascii="宋体" w:hAnsi="宋体" w:eastAsia="宋体" w:cs="宋体"/>
      <w:kern w:val="0"/>
      <w:szCs w:val="21"/>
    </w:rPr>
  </w:style>
  <w:style w:type="paragraph" w:customStyle="1" w:styleId="196">
    <w:name w:val="mian_con_foot1"/>
    <w:basedOn w:val="1"/>
    <w:qFormat/>
    <w:uiPriority w:val="0"/>
    <w:pPr>
      <w:widowControl/>
      <w:shd w:val="clear" w:color="auto" w:fill="F8F8F8"/>
      <w:spacing w:before="600" w:after="100" w:afterAutospacing="1" w:line="675" w:lineRule="atLeast"/>
      <w:jc w:val="left"/>
    </w:pPr>
    <w:rPr>
      <w:rFonts w:ascii="宋体" w:hAnsi="宋体" w:eastAsia="宋体" w:cs="宋体"/>
      <w:kern w:val="0"/>
      <w:sz w:val="24"/>
      <w:szCs w:val="24"/>
    </w:rPr>
  </w:style>
  <w:style w:type="paragraph" w:customStyle="1" w:styleId="197">
    <w:name w:val="li011"/>
    <w:basedOn w:val="1"/>
    <w:qFormat/>
    <w:uiPriority w:val="0"/>
    <w:pPr>
      <w:widowControl/>
      <w:spacing w:before="100" w:beforeAutospacing="1" w:after="100" w:afterAutospacing="1" w:line="390" w:lineRule="atLeast"/>
      <w:jc w:val="left"/>
    </w:pPr>
    <w:rPr>
      <w:rFonts w:ascii="宋体" w:hAnsi="宋体" w:eastAsia="宋体" w:cs="宋体"/>
      <w:color w:val="333333"/>
      <w:kern w:val="0"/>
      <w:szCs w:val="21"/>
    </w:rPr>
  </w:style>
  <w:style w:type="paragraph" w:customStyle="1" w:styleId="198">
    <w:name w:val="li021"/>
    <w:basedOn w:val="1"/>
    <w:qFormat/>
    <w:uiPriority w:val="0"/>
    <w:pPr>
      <w:widowControl/>
      <w:spacing w:before="100" w:beforeAutospacing="1" w:after="100" w:afterAutospacing="1" w:line="390" w:lineRule="atLeast"/>
      <w:jc w:val="left"/>
    </w:pPr>
    <w:rPr>
      <w:rFonts w:ascii="宋体" w:hAnsi="宋体" w:eastAsia="宋体" w:cs="宋体"/>
      <w:color w:val="333333"/>
      <w:kern w:val="0"/>
      <w:szCs w:val="21"/>
    </w:rPr>
  </w:style>
  <w:style w:type="paragraph" w:customStyle="1" w:styleId="199">
    <w:name w:val="jgld_leader_pic1"/>
    <w:basedOn w:val="1"/>
    <w:qFormat/>
    <w:uiPriority w:val="0"/>
    <w:pPr>
      <w:widowControl/>
      <w:spacing w:before="300" w:after="300"/>
      <w:ind w:left="300" w:right="300"/>
      <w:jc w:val="left"/>
    </w:pPr>
    <w:rPr>
      <w:rFonts w:ascii="宋体" w:hAnsi="宋体" w:eastAsia="宋体" w:cs="宋体"/>
      <w:kern w:val="0"/>
      <w:sz w:val="24"/>
      <w:szCs w:val="24"/>
    </w:rPr>
  </w:style>
  <w:style w:type="paragraph" w:customStyle="1" w:styleId="200">
    <w:name w:val="jdld_leader_right1"/>
    <w:basedOn w:val="1"/>
    <w:qFormat/>
    <w:uiPriority w:val="0"/>
    <w:pPr>
      <w:widowControl/>
      <w:spacing w:before="675" w:after="100" w:afterAutospacing="1"/>
      <w:ind w:left="150"/>
      <w:jc w:val="left"/>
    </w:pPr>
    <w:rPr>
      <w:rFonts w:ascii="宋体" w:hAnsi="宋体" w:eastAsia="宋体" w:cs="宋体"/>
      <w:kern w:val="0"/>
      <w:sz w:val="24"/>
      <w:szCs w:val="24"/>
    </w:rPr>
  </w:style>
  <w:style w:type="paragraph" w:customStyle="1" w:styleId="201">
    <w:name w:val="jdld_leader_tit1"/>
    <w:basedOn w:val="1"/>
    <w:qFormat/>
    <w:uiPriority w:val="0"/>
    <w:pPr>
      <w:widowControl/>
      <w:spacing w:before="100" w:beforeAutospacing="1" w:after="100" w:afterAutospacing="1" w:line="330" w:lineRule="atLeast"/>
      <w:jc w:val="left"/>
    </w:pPr>
    <w:rPr>
      <w:rFonts w:ascii="宋体" w:hAnsi="宋体" w:eastAsia="宋体" w:cs="宋体"/>
      <w:b/>
      <w:bCs/>
      <w:color w:val="990B00"/>
      <w:kern w:val="0"/>
      <w:sz w:val="33"/>
      <w:szCs w:val="33"/>
    </w:rPr>
  </w:style>
  <w:style w:type="paragraph" w:customStyle="1" w:styleId="202">
    <w:name w:val="jdld_leader_zw1"/>
    <w:basedOn w:val="1"/>
    <w:qFormat/>
    <w:uiPriority w:val="0"/>
    <w:pPr>
      <w:widowControl/>
      <w:spacing w:before="100" w:beforeAutospacing="1" w:after="100" w:afterAutospacing="1" w:line="525" w:lineRule="atLeast"/>
      <w:jc w:val="left"/>
    </w:pPr>
    <w:rPr>
      <w:rFonts w:ascii="宋体" w:hAnsi="宋体" w:eastAsia="宋体" w:cs="宋体"/>
      <w:color w:val="333333"/>
      <w:kern w:val="0"/>
      <w:szCs w:val="21"/>
    </w:rPr>
  </w:style>
  <w:style w:type="paragraph" w:customStyle="1" w:styleId="203">
    <w:name w:val="jdld_leader_zw&gt;span1"/>
    <w:basedOn w:val="1"/>
    <w:qFormat/>
    <w:uiPriority w:val="0"/>
    <w:pPr>
      <w:widowControl/>
      <w:spacing w:before="100" w:beforeAutospacing="1" w:after="100" w:afterAutospacing="1"/>
      <w:jc w:val="left"/>
    </w:pPr>
    <w:rPr>
      <w:rFonts w:ascii="宋体" w:hAnsi="宋体" w:eastAsia="宋体" w:cs="宋体"/>
      <w:b/>
      <w:bCs/>
      <w:kern w:val="0"/>
      <w:sz w:val="24"/>
      <w:szCs w:val="24"/>
    </w:rPr>
  </w:style>
  <w:style w:type="paragraph" w:customStyle="1" w:styleId="204">
    <w:name w:val="jdld_leader_zw&gt;div1"/>
    <w:basedOn w:val="1"/>
    <w:qFormat/>
    <w:uiPriority w:val="0"/>
    <w:pPr>
      <w:widowControl/>
      <w:spacing w:before="100" w:beforeAutospacing="1" w:after="100" w:afterAutospacing="1"/>
      <w:jc w:val="left"/>
    </w:pPr>
    <w:rPr>
      <w:rFonts w:ascii="宋体" w:hAnsi="宋体" w:eastAsia="宋体" w:cs="宋体"/>
      <w:kern w:val="0"/>
      <w:szCs w:val="21"/>
    </w:rPr>
  </w:style>
  <w:style w:type="paragraph" w:customStyle="1" w:styleId="205">
    <w:name w:val="next2"/>
    <w:basedOn w:val="1"/>
    <w:qFormat/>
    <w:uiPriority w:val="0"/>
    <w:pPr>
      <w:widowControl/>
      <w:pBdr>
        <w:right w:val="single" w:color="EEEEEE" w:sz="6" w:space="0"/>
      </w:pBdr>
      <w:spacing w:before="100" w:beforeAutospacing="1" w:after="100" w:afterAutospacing="1"/>
      <w:jc w:val="left"/>
    </w:pPr>
    <w:rPr>
      <w:rFonts w:ascii="宋体" w:hAnsi="宋体" w:eastAsia="宋体" w:cs="宋体"/>
      <w:kern w:val="0"/>
      <w:sz w:val="24"/>
      <w:szCs w:val="24"/>
    </w:rPr>
  </w:style>
  <w:style w:type="paragraph" w:customStyle="1" w:styleId="206">
    <w:name w:val="pageselect1"/>
    <w:basedOn w:val="1"/>
    <w:qFormat/>
    <w:uiPriority w:val="0"/>
    <w:pPr>
      <w:widowControl/>
      <w:pBdr>
        <w:bottom w:val="single" w:color="2E6699" w:sz="18" w:space="0"/>
      </w:pBdr>
      <w:shd w:val="clear" w:color="auto" w:fill="FFFFFF"/>
      <w:spacing w:before="100" w:beforeAutospacing="1" w:after="100" w:afterAutospacing="1"/>
      <w:jc w:val="left"/>
    </w:pPr>
    <w:rPr>
      <w:rFonts w:ascii="宋体" w:hAnsi="宋体" w:eastAsia="宋体" w:cs="宋体"/>
      <w:color w:val="4C4C4C"/>
      <w:kern w:val="0"/>
      <w:sz w:val="24"/>
      <w:szCs w:val="24"/>
    </w:rPr>
  </w:style>
  <w:style w:type="paragraph" w:customStyle="1" w:styleId="207">
    <w:name w:val="gwds_more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8">
    <w:name w:val="topsystem_inner1"/>
    <w:basedOn w:val="1"/>
    <w:qFormat/>
    <w:uiPriority w:val="0"/>
    <w:pPr>
      <w:widowControl/>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209">
    <w:name w:val="midsystem_inner1"/>
    <w:basedOn w:val="1"/>
    <w:qFormat/>
    <w:uiPriority w:val="0"/>
    <w:pPr>
      <w:widowControl/>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210">
    <w:name w:val="txt1"/>
    <w:basedOn w:val="1"/>
    <w:qFormat/>
    <w:uiPriority w:val="0"/>
    <w:pPr>
      <w:widowControl/>
      <w:spacing w:before="100" w:beforeAutospacing="1" w:after="100" w:afterAutospacing="1" w:line="450" w:lineRule="atLeast"/>
      <w:jc w:val="left"/>
    </w:pPr>
    <w:rPr>
      <w:rFonts w:ascii="微软雅黑" w:hAnsi="微软雅黑" w:eastAsia="微软雅黑" w:cs="宋体"/>
      <w:color w:val="999999"/>
      <w:kern w:val="0"/>
      <w:sz w:val="27"/>
      <w:szCs w:val="27"/>
    </w:rPr>
  </w:style>
  <w:style w:type="paragraph" w:customStyle="1" w:styleId="211">
    <w:name w:val="txt2"/>
    <w:basedOn w:val="1"/>
    <w:qFormat/>
    <w:uiPriority w:val="0"/>
    <w:pPr>
      <w:widowControl/>
      <w:spacing w:before="100" w:beforeAutospacing="1" w:after="100" w:afterAutospacing="1" w:line="450" w:lineRule="atLeast"/>
      <w:jc w:val="left"/>
    </w:pPr>
    <w:rPr>
      <w:rFonts w:ascii="微软雅黑" w:hAnsi="微软雅黑" w:eastAsia="微软雅黑" w:cs="宋体"/>
      <w:color w:val="999999"/>
      <w:kern w:val="0"/>
      <w:sz w:val="27"/>
      <w:szCs w:val="27"/>
    </w:rPr>
  </w:style>
  <w:style w:type="paragraph" w:customStyle="1" w:styleId="212">
    <w:name w:val="txt3"/>
    <w:basedOn w:val="1"/>
    <w:qFormat/>
    <w:uiPriority w:val="0"/>
    <w:pPr>
      <w:widowControl/>
      <w:spacing w:before="100" w:beforeAutospacing="1" w:after="100" w:afterAutospacing="1" w:line="450" w:lineRule="atLeast"/>
      <w:jc w:val="left"/>
    </w:pPr>
    <w:rPr>
      <w:rFonts w:ascii="微软雅黑" w:hAnsi="微软雅黑" w:eastAsia="微软雅黑" w:cs="宋体"/>
      <w:color w:val="999999"/>
      <w:kern w:val="0"/>
      <w:sz w:val="27"/>
      <w:szCs w:val="27"/>
    </w:rPr>
  </w:style>
  <w:style w:type="paragraph" w:customStyle="1" w:styleId="213">
    <w:name w:val="smooth-lf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4">
    <w:name w:val="smooth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5">
    <w:name w:val="w9801"/>
    <w:basedOn w:val="1"/>
    <w:qFormat/>
    <w:uiPriority w:val="0"/>
    <w:pPr>
      <w:widowControl/>
      <w:jc w:val="left"/>
    </w:pPr>
    <w:rPr>
      <w:rFonts w:ascii="宋体" w:hAnsi="宋体" w:eastAsia="宋体" w:cs="宋体"/>
      <w:kern w:val="0"/>
      <w:sz w:val="24"/>
      <w:szCs w:val="24"/>
    </w:rPr>
  </w:style>
  <w:style w:type="paragraph" w:customStyle="1" w:styleId="216">
    <w:name w:val="smooth-box1"/>
    <w:basedOn w:val="1"/>
    <w:qFormat/>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217">
    <w:name w:val="hj-easyread-sider-btns-item1"/>
    <w:basedOn w:val="1"/>
    <w:qFormat/>
    <w:uiPriority w:val="0"/>
    <w:pPr>
      <w:widowControl/>
      <w:spacing w:before="100" w:beforeAutospacing="1" w:after="100" w:afterAutospacing="1"/>
      <w:jc w:val="left"/>
    </w:pPr>
    <w:rPr>
      <w:rFonts w:ascii="宋体" w:hAnsi="宋体" w:eastAsia="宋体" w:cs="宋体"/>
      <w:vanish/>
      <w:kern w:val="0"/>
      <w:sz w:val="24"/>
      <w:szCs w:val="24"/>
    </w:rPr>
  </w:style>
  <w:style w:type="character" w:customStyle="1" w:styleId="218">
    <w:name w:val="hj-easyread-speakerprocesser-position-action-icon1"/>
    <w:basedOn w:val="14"/>
    <w:qFormat/>
    <w:uiPriority w:val="0"/>
    <w:rPr>
      <w:shd w:val="clear" w:color="auto" w:fill="auto"/>
    </w:rPr>
  </w:style>
  <w:style w:type="paragraph" w:customStyle="1" w:styleId="219">
    <w:name w:val="tipscontrol-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0">
    <w:name w:val="wechat-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1">
    <w:name w:val="wechat-btn2"/>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2">
    <w:name w:val="tipssearch-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3">
    <w:name w:val="tipscitys-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4">
    <w:name w:val="returntotop-btn1"/>
    <w:basedOn w:val="1"/>
    <w:qFormat/>
    <w:uiPriority w:val="0"/>
    <w:pPr>
      <w:widowControl/>
      <w:spacing w:before="100" w:beforeAutospacing="1" w:after="100" w:afterAutospacing="1" w:line="536853376" w:lineRule="auto"/>
      <w:jc w:val="left"/>
    </w:pPr>
    <w:rPr>
      <w:rFonts w:ascii="宋体" w:hAnsi="宋体" w:eastAsia="宋体" w:cs="宋体"/>
      <w:kern w:val="0"/>
      <w:sz w:val="2"/>
      <w:szCs w:val="2"/>
    </w:rPr>
  </w:style>
  <w:style w:type="paragraph" w:customStyle="1" w:styleId="225">
    <w:name w:val="hj-easyread-icons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26">
    <w:name w:val="批注框文本 Char"/>
    <w:basedOn w:val="14"/>
    <w:link w:val="9"/>
    <w:semiHidden/>
    <w:qFormat/>
    <w:uiPriority w:val="99"/>
    <w:rPr>
      <w:sz w:val="18"/>
      <w:szCs w:val="18"/>
    </w:rPr>
  </w:style>
  <w:style w:type="character" w:customStyle="1" w:styleId="227">
    <w:name w:val="页眉 Char"/>
    <w:basedOn w:val="14"/>
    <w:link w:val="11"/>
    <w:qFormat/>
    <w:uiPriority w:val="99"/>
    <w:rPr>
      <w:sz w:val="18"/>
      <w:szCs w:val="18"/>
    </w:rPr>
  </w:style>
  <w:style w:type="character" w:customStyle="1" w:styleId="228">
    <w:name w:val="页脚 Char"/>
    <w:basedOn w:val="14"/>
    <w:link w:val="10"/>
    <w:qFormat/>
    <w:uiPriority w:val="99"/>
    <w:rPr>
      <w:sz w:val="18"/>
      <w:szCs w:val="18"/>
    </w:rPr>
  </w:style>
  <w:style w:type="paragraph" w:customStyle="1" w:styleId="229">
    <w:name w:val="Char Char Char Char Char Char Char"/>
    <w:basedOn w:val="1"/>
    <w:qFormat/>
    <w:uiPriority w:val="0"/>
    <w:rPr>
      <w:rFonts w:ascii="Times New Roman" w:hAnsi="Times New Roman" w:eastAsia="宋体" w:cs="Times New Roman"/>
      <w:szCs w:val="21"/>
    </w:rPr>
  </w:style>
  <w:style w:type="paragraph" w:styleId="2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11</Pages>
  <Words>5465</Words>
  <Characters>5815</Characters>
  <Lines>57</Lines>
  <Paragraphs>16</Paragraphs>
  <TotalTime>6</TotalTime>
  <ScaleCrop>false</ScaleCrop>
  <LinksUpToDate>false</LinksUpToDate>
  <CharactersWithSpaces>5826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2020-08-26T02:48:00Z</dcterms:created>
  <dc:creator>NTKO</dc:creator>
  <cp:lastModifiedBy>杨阳</cp:lastModifiedBy>
  <cp:lastPrinted>2020-08-31T01:20:00Z</cp:lastPrinted>
  <dcterms:modified xsi:type="dcterms:W3CDTF">2026-08-18T07:54:31Z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eyJoZGlkIjoiOWU1NWZmNjE3NzBhODZmYTYyMjBhNTQwZWM0ZjBkNjEiLCJ1c2VySWQiOiI3NTA0NTc1ODIifQ==</vt:lpwstr>
  </property>
  <property fmtid="{D5CDD505-2E9C-101B-9397-08002B2CF9AE}" pid="4" name="ICV">
    <vt:lpwstr>7F268E3A25EB4483A34B07E76767D80D_12</vt:lpwstr>
  </property>
</Properties>
</file>